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7F4" w14:textId="41B28454" w:rsidR="005A6B1F" w:rsidRPr="00F651C7" w:rsidRDefault="005A6B1F" w:rsidP="00D070B2">
      <w:pPr>
        <w:pStyle w:val="Kop1"/>
        <w:spacing w:line="240" w:lineRule="auto"/>
        <w:rPr>
          <w:b/>
          <w:bCs/>
        </w:rPr>
      </w:pPr>
      <w:r w:rsidRPr="00F651C7">
        <w:rPr>
          <w:b/>
          <w:bCs/>
        </w:rPr>
        <w:t>Jaarverslag Raad van Toezicht Lumens 202</w:t>
      </w:r>
      <w:r w:rsidR="00F651C7" w:rsidRPr="00F651C7">
        <w:rPr>
          <w:b/>
          <w:bCs/>
        </w:rPr>
        <w:t>5</w:t>
      </w:r>
    </w:p>
    <w:p w14:paraId="2ADE1F87" w14:textId="77777777" w:rsidR="005A6B1F" w:rsidRPr="00F651C7" w:rsidRDefault="005A6B1F" w:rsidP="00D070B2">
      <w:pPr>
        <w:spacing w:line="240" w:lineRule="auto"/>
        <w:rPr>
          <w:rFonts w:cstheme="minorHAnsi"/>
          <w:b/>
        </w:rPr>
      </w:pPr>
    </w:p>
    <w:p w14:paraId="266C4740" w14:textId="160BCEF1" w:rsidR="005A6B1F" w:rsidRPr="00F651C7" w:rsidRDefault="0034087C" w:rsidP="00D070B2">
      <w:pPr>
        <w:pStyle w:val="Kop4"/>
        <w:spacing w:before="0" w:line="240" w:lineRule="auto"/>
        <w:rPr>
          <w:b/>
          <w:bCs/>
          <w:sz w:val="24"/>
          <w:szCs w:val="24"/>
        </w:rPr>
      </w:pPr>
      <w:r w:rsidRPr="00F651C7">
        <w:rPr>
          <w:b/>
          <w:bCs/>
          <w:sz w:val="24"/>
          <w:szCs w:val="24"/>
        </w:rPr>
        <w:t>Terugblik op</w:t>
      </w:r>
      <w:r w:rsidR="005A6B1F" w:rsidRPr="00F651C7">
        <w:rPr>
          <w:b/>
          <w:bCs/>
          <w:sz w:val="24"/>
          <w:szCs w:val="24"/>
        </w:rPr>
        <w:t xml:space="preserve"> 202</w:t>
      </w:r>
      <w:r w:rsidR="00F651C7" w:rsidRPr="00F651C7">
        <w:rPr>
          <w:b/>
          <w:bCs/>
          <w:sz w:val="24"/>
          <w:szCs w:val="24"/>
        </w:rPr>
        <w:t>5</w:t>
      </w:r>
    </w:p>
    <w:p w14:paraId="58559397" w14:textId="2A0BC25C" w:rsidR="005A6B1F" w:rsidRPr="00E541A5" w:rsidRDefault="005A6B1F" w:rsidP="00D070B2">
      <w:pPr>
        <w:spacing w:line="240" w:lineRule="auto"/>
        <w:rPr>
          <w:rFonts w:cstheme="minorHAnsi"/>
          <w:i/>
        </w:rPr>
      </w:pPr>
      <w:r w:rsidRPr="00E541A5">
        <w:rPr>
          <w:rFonts w:cstheme="minorHAnsi"/>
          <w:i/>
        </w:rPr>
        <w:t>In dit jaarverslag blikt de Raad van Toezicht van Lumens terug op 202</w:t>
      </w:r>
      <w:r w:rsidR="00E541A5" w:rsidRPr="00E541A5">
        <w:rPr>
          <w:rFonts w:cstheme="minorHAnsi"/>
          <w:i/>
        </w:rPr>
        <w:t>5</w:t>
      </w:r>
      <w:r w:rsidRPr="00E541A5">
        <w:rPr>
          <w:rFonts w:cstheme="minorHAnsi"/>
          <w:i/>
        </w:rPr>
        <w:t xml:space="preserve">. De onderwerpen die in het bijzonder aandacht hebben gehad komen hierbij aan bod, de samenstelling van de Raad en commissie. Ook worden de overleggen met de verschillende overlegorganen toegelicht. De raad werkt vanuit een Toezichtsvisie en </w:t>
      </w:r>
      <w:proofErr w:type="spellStart"/>
      <w:r w:rsidRPr="00E541A5">
        <w:rPr>
          <w:rFonts w:cstheme="minorHAnsi"/>
          <w:i/>
        </w:rPr>
        <w:t>Toezichtskader</w:t>
      </w:r>
      <w:proofErr w:type="spellEnd"/>
      <w:r w:rsidRPr="00E541A5">
        <w:rPr>
          <w:rFonts w:cstheme="minorHAnsi"/>
          <w:i/>
        </w:rPr>
        <w:t xml:space="preserve"> gebaseerd op de </w:t>
      </w:r>
      <w:proofErr w:type="spellStart"/>
      <w:r w:rsidRPr="00E541A5">
        <w:rPr>
          <w:rFonts w:cstheme="minorHAnsi"/>
          <w:i/>
        </w:rPr>
        <w:t>Governancecode</w:t>
      </w:r>
      <w:proofErr w:type="spellEnd"/>
      <w:r w:rsidRPr="00E541A5">
        <w:rPr>
          <w:rFonts w:cstheme="minorHAnsi"/>
          <w:i/>
        </w:rPr>
        <w:t xml:space="preserve"> Sociaal Werk en de Wegwijzer Goed Toezicht van de NVTZ.</w:t>
      </w:r>
    </w:p>
    <w:p w14:paraId="660BF600" w14:textId="77777777" w:rsidR="005A6B1F" w:rsidRPr="00F651C7" w:rsidRDefault="005A6B1F" w:rsidP="00D070B2">
      <w:pPr>
        <w:spacing w:line="240" w:lineRule="auto"/>
        <w:rPr>
          <w:rFonts w:cstheme="minorHAnsi"/>
          <w:i/>
          <w:highlight w:val="yellow"/>
        </w:rPr>
      </w:pPr>
    </w:p>
    <w:p w14:paraId="73E93849" w14:textId="77777777" w:rsidR="005A6B1F" w:rsidRPr="00277B6A" w:rsidRDefault="005A6B1F" w:rsidP="00D070B2">
      <w:pPr>
        <w:pStyle w:val="Kop4"/>
        <w:spacing w:before="0" w:line="240" w:lineRule="auto"/>
        <w:rPr>
          <w:b/>
          <w:bCs/>
          <w:sz w:val="24"/>
          <w:szCs w:val="24"/>
        </w:rPr>
      </w:pPr>
      <w:r w:rsidRPr="00277B6A">
        <w:rPr>
          <w:b/>
          <w:bCs/>
          <w:sz w:val="24"/>
          <w:szCs w:val="24"/>
        </w:rPr>
        <w:t>Algemeen – inwoners</w:t>
      </w:r>
    </w:p>
    <w:p w14:paraId="55214400" w14:textId="77777777" w:rsidR="005A6B1F" w:rsidRPr="00277B6A" w:rsidRDefault="005A6B1F" w:rsidP="00D070B2">
      <w:pPr>
        <w:spacing w:line="240" w:lineRule="auto"/>
      </w:pPr>
      <w:r w:rsidRPr="00277B6A">
        <w:t>Mede onder invloed van toegenomen maatschappelijke en mondiale spanningen, zagen medewerkers van Lumens in het afgelopen jaar groeiende spanningen tussen mensen en een toename van volwassenen en jongeren voor wie wonen, financiële onafhankelijkheid en (mentale) gezondheid geen vanzelfsprekendheid is.</w:t>
      </w:r>
    </w:p>
    <w:p w14:paraId="783A9B06" w14:textId="77777777" w:rsidR="005A6B1F" w:rsidRPr="00277B6A" w:rsidRDefault="005A6B1F" w:rsidP="00D070B2">
      <w:pPr>
        <w:spacing w:line="240" w:lineRule="auto"/>
      </w:pPr>
      <w:r w:rsidRPr="00277B6A">
        <w:t xml:space="preserve">Niet iedereen heeft de mogelijkheid of omstandigheid om hier zelf richting aan te geven. Juist in deze tijd is de waarde van het sociaal werk van Lumens zichtbaar en voelbaar voor inwoners door op een laagdrempelige wijze ondersteuning te bieden in hun dagelijks leven. Tegen deze achtergrond spreken we onze waardering uit voor alle vrijwilligers, medewerkers en bestuur van Lumens. Ook zij hebben veerkracht getoond door steeds weer te zoeken naar mogelijkheden om inwoners en hun netwerken in wijken en buurten te kunnen blijven bereiken en ondersteunen. </w:t>
      </w:r>
    </w:p>
    <w:p w14:paraId="7B5A2C03" w14:textId="77777777" w:rsidR="005A6B1F" w:rsidRPr="00F651C7" w:rsidRDefault="005A6B1F" w:rsidP="00D070B2">
      <w:pPr>
        <w:spacing w:line="240" w:lineRule="auto"/>
        <w:rPr>
          <w:highlight w:val="yellow"/>
        </w:rPr>
      </w:pPr>
    </w:p>
    <w:p w14:paraId="4D577297" w14:textId="77777777" w:rsidR="005A6B1F" w:rsidRPr="00291ECC" w:rsidRDefault="005A6B1F" w:rsidP="00D070B2">
      <w:pPr>
        <w:pStyle w:val="Kop4"/>
        <w:spacing w:before="0" w:line="240" w:lineRule="auto"/>
        <w:rPr>
          <w:b/>
          <w:bCs/>
          <w:sz w:val="24"/>
          <w:szCs w:val="24"/>
        </w:rPr>
      </w:pPr>
      <w:r w:rsidRPr="00291ECC">
        <w:rPr>
          <w:b/>
          <w:bCs/>
          <w:sz w:val="24"/>
          <w:szCs w:val="24"/>
        </w:rPr>
        <w:t>Interne gang van zaken</w:t>
      </w:r>
    </w:p>
    <w:p w14:paraId="456DB9EB" w14:textId="6F5691C7" w:rsidR="001C27D9" w:rsidRDefault="005A6B1F" w:rsidP="00D070B2">
      <w:pPr>
        <w:spacing w:line="240" w:lineRule="auto"/>
        <w:rPr>
          <w:highlight w:val="yellow"/>
        </w:rPr>
      </w:pPr>
      <w:r w:rsidRPr="005E100C">
        <w:t>In 202</w:t>
      </w:r>
      <w:r w:rsidR="007654AE" w:rsidRPr="005E100C">
        <w:t>5</w:t>
      </w:r>
      <w:r w:rsidRPr="005E100C">
        <w:t xml:space="preserve"> volgde de Raad van Toezicht de organisatieontwikkeling van Lumens op de voet. In 2023 zijn organisatieveranderingen doorgevoerd en in 2024 bleken knelpunten in de werkprocessen te bestaan die niet gemakkelijk op te lossen bleken. </w:t>
      </w:r>
      <w:r w:rsidR="00EA3D6C" w:rsidRPr="005E100C">
        <w:t>Er is eind 2024 een senior-MT-lid aangesteld om de doorontwikkeling van de organisatie te bespoedi</w:t>
      </w:r>
      <w:r w:rsidR="005E100C" w:rsidRPr="005E100C">
        <w:t xml:space="preserve">gen en het ziekteverzuim terug te dringen. </w:t>
      </w:r>
      <w:r w:rsidR="00222119">
        <w:t>De senior-manager heeft tweemaal een presentatie aan de Raad gegeven</w:t>
      </w:r>
      <w:r w:rsidR="004C54C5">
        <w:t xml:space="preserve"> in 2025</w:t>
      </w:r>
      <w:r w:rsidR="004D5E73">
        <w:t>.</w:t>
      </w:r>
      <w:r w:rsidR="00222119">
        <w:t xml:space="preserve"> </w:t>
      </w:r>
      <w:r w:rsidR="004D5E73">
        <w:t xml:space="preserve">De eerste over het plan van aanpak doorontwikkeling en </w:t>
      </w:r>
      <w:r w:rsidR="00D520C8">
        <w:t xml:space="preserve">de tweede over de resultaten. </w:t>
      </w:r>
      <w:r w:rsidR="00726322">
        <w:t>De RvT heeft de doorontwikkeling</w:t>
      </w:r>
      <w:r w:rsidR="00304E38">
        <w:t xml:space="preserve"> van de organisatie</w:t>
      </w:r>
      <w:r w:rsidR="00726322">
        <w:t xml:space="preserve"> en </w:t>
      </w:r>
      <w:r w:rsidR="00BC790C">
        <w:t xml:space="preserve">de (gunstige) ontwikkelingen wat betreft het </w:t>
      </w:r>
      <w:r w:rsidR="002021FD">
        <w:t xml:space="preserve">ziekteverzuim intensief gevolgd. </w:t>
      </w:r>
      <w:r w:rsidR="00BC790C">
        <w:t xml:space="preserve">Ook heeft de RvT meegekeken naar de reflectie op het veranderingsproces van de afgelopen drie jaren. </w:t>
      </w:r>
    </w:p>
    <w:p w14:paraId="393C249C" w14:textId="77777777" w:rsidR="00F91543" w:rsidRDefault="00F91543" w:rsidP="00D070B2">
      <w:pPr>
        <w:spacing w:line="240" w:lineRule="auto"/>
        <w:rPr>
          <w:highlight w:val="yellow"/>
        </w:rPr>
      </w:pPr>
    </w:p>
    <w:p w14:paraId="2ED3DC4E" w14:textId="07D86620" w:rsidR="005A6B1F" w:rsidRPr="00496E0D" w:rsidRDefault="00F91543" w:rsidP="00D070B2">
      <w:pPr>
        <w:spacing w:line="240" w:lineRule="auto"/>
      </w:pPr>
      <w:r w:rsidRPr="00496E0D">
        <w:t xml:space="preserve">Bij de interne gang van zaken laat de RvT zich leiden door </w:t>
      </w:r>
      <w:r w:rsidR="005A6B1F" w:rsidRPr="00496E0D">
        <w:t xml:space="preserve">wat de organisatie nodig heeft om zich te ontwikkelen </w:t>
      </w:r>
      <w:r w:rsidR="00496E0D" w:rsidRPr="00496E0D">
        <w:t>tot een krachtige organisatie</w:t>
      </w:r>
      <w:r w:rsidR="005A6B1F" w:rsidRPr="00496E0D">
        <w:t xml:space="preserve"> om maatschappelijke opgaven voor inwoners te realiseren.</w:t>
      </w:r>
    </w:p>
    <w:p w14:paraId="10B760D3" w14:textId="77777777" w:rsidR="005A6B1F" w:rsidRPr="00F651C7" w:rsidRDefault="005A6B1F" w:rsidP="00D070B2">
      <w:pPr>
        <w:spacing w:line="240" w:lineRule="auto"/>
        <w:rPr>
          <w:highlight w:val="yellow"/>
        </w:rPr>
      </w:pPr>
    </w:p>
    <w:p w14:paraId="660A32E0" w14:textId="77777777" w:rsidR="005A6B1F" w:rsidRPr="003C64D9" w:rsidRDefault="005A6B1F" w:rsidP="00D070B2">
      <w:pPr>
        <w:pStyle w:val="Kop4"/>
        <w:spacing w:before="0" w:line="240" w:lineRule="auto"/>
        <w:rPr>
          <w:b/>
          <w:bCs/>
          <w:sz w:val="24"/>
          <w:szCs w:val="24"/>
        </w:rPr>
      </w:pPr>
      <w:r w:rsidRPr="003C64D9">
        <w:rPr>
          <w:b/>
          <w:bCs/>
          <w:sz w:val="24"/>
          <w:szCs w:val="24"/>
        </w:rPr>
        <w:t>Lumens als netwerkorganisatie</w:t>
      </w:r>
    </w:p>
    <w:p w14:paraId="304EAC5E" w14:textId="77777777" w:rsidR="005A6B1F" w:rsidRPr="003C64D9" w:rsidRDefault="005A6B1F" w:rsidP="00D070B2">
      <w:pPr>
        <w:spacing w:line="240" w:lineRule="auto"/>
      </w:pPr>
      <w:r w:rsidRPr="003C64D9">
        <w:t xml:space="preserve">Een ding is duidelijk: om de toekomstige uitdagingen te beantwoorden, is meer samenwerking nodig tussen partners binnen het brede sociaal werk en vooral met andere sectoren zoals onderwijs, zorg, wonen en werk. Gemeenten hebben hierbij verschillende rollen: beleid, opdrachtgever, financier, soms uitvoerder en/of Toezichthouder. </w:t>
      </w:r>
    </w:p>
    <w:p w14:paraId="553768B1" w14:textId="77777777" w:rsidR="005A6B1F" w:rsidRPr="003C64D9" w:rsidRDefault="005A6B1F" w:rsidP="00D070B2">
      <w:pPr>
        <w:spacing w:line="240" w:lineRule="auto"/>
      </w:pPr>
    </w:p>
    <w:p w14:paraId="49B82046" w14:textId="57C365FA" w:rsidR="005A6B1F" w:rsidRDefault="005A6B1F" w:rsidP="00D070B2">
      <w:pPr>
        <w:spacing w:line="240" w:lineRule="auto"/>
      </w:pPr>
      <w:r w:rsidRPr="003C64D9">
        <w:t>Lumens is actief in vele gemeenten. Samenwerken is niet eenvoudig en complex. Een goede strategie gericht op samenwerken was en is een belangrijke prioriteit waar de bestuurder invulling aan geeft. Vanzelfsprekend is de RvT aan dit proces verbonden. Gezien de complexiteit van het toezicht in en op een netwerk, heeft ook in 202</w:t>
      </w:r>
      <w:r w:rsidR="00AF4894" w:rsidRPr="003C64D9">
        <w:t>5</w:t>
      </w:r>
      <w:r w:rsidRPr="003C64D9">
        <w:t xml:space="preserve"> de RvT de dialoog met de bestuurder gevoerd over </w:t>
      </w:r>
      <w:r w:rsidR="00AF5A84" w:rsidRPr="003C64D9">
        <w:t xml:space="preserve">huidige en </w:t>
      </w:r>
      <w:r w:rsidRPr="003C64D9">
        <w:t xml:space="preserve">toekomstige deelname aan netwerken. In gesprek met de bestuurder richten we de aandacht op de kansen en risico’s van Lumens om een krachtige positie na te streven en om een zo groot mogelijke </w:t>
      </w:r>
      <w:r w:rsidRPr="003C64D9">
        <w:lastRenderedPageBreak/>
        <w:t>impact te genereren voor de inwoners. In 202</w:t>
      </w:r>
      <w:r w:rsidR="003C64D9" w:rsidRPr="003C64D9">
        <w:t>5</w:t>
      </w:r>
      <w:r w:rsidRPr="003C64D9">
        <w:t xml:space="preserve"> waren de grote netwerkontwikkelingen in de Brainportregio hier een duidelijk voorbeeld van.</w:t>
      </w:r>
      <w:r w:rsidR="003C64D9">
        <w:t xml:space="preserve"> Denk aan Pact W</w:t>
      </w:r>
      <w:r w:rsidR="001605BD">
        <w:t xml:space="preserve">oensel Zuid, ontwikkelingen rondom de Bibliotopen in Eindhoven, samenwerking </w:t>
      </w:r>
      <w:r w:rsidR="00485452">
        <w:t>in de VVT-sector (Ver</w:t>
      </w:r>
      <w:r w:rsidR="00870ED0">
        <w:t>pleging en Verzorging) en samenwerking met ASML</w:t>
      </w:r>
      <w:r w:rsidR="004F7062">
        <w:t>.</w:t>
      </w:r>
    </w:p>
    <w:p w14:paraId="23958032" w14:textId="77777777" w:rsidR="00A31F50" w:rsidRDefault="00A31F50" w:rsidP="00D070B2">
      <w:pPr>
        <w:spacing w:line="240" w:lineRule="auto"/>
      </w:pPr>
    </w:p>
    <w:p w14:paraId="45657B6A" w14:textId="4DD44C05" w:rsidR="00A31F50" w:rsidRDefault="007A19E7" w:rsidP="00D070B2">
      <w:pPr>
        <w:spacing w:line="240" w:lineRule="auto"/>
      </w:pPr>
      <w:r w:rsidRPr="003240D2">
        <w:t xml:space="preserve">De RvT heeft ook de </w:t>
      </w:r>
      <w:r w:rsidR="00A31F50" w:rsidRPr="003240D2">
        <w:t>verwachte schaalsprong</w:t>
      </w:r>
      <w:r w:rsidR="00C2707D" w:rsidRPr="003240D2">
        <w:t xml:space="preserve"> (forse toename van inwonersaantallen)</w:t>
      </w:r>
      <w:r w:rsidR="00A31F50" w:rsidRPr="003240D2">
        <w:t xml:space="preserve"> in de Brainportregio </w:t>
      </w:r>
      <w:r w:rsidRPr="003240D2">
        <w:t>in het vizier</w:t>
      </w:r>
      <w:r w:rsidR="0036083A" w:rsidRPr="003240D2">
        <w:t xml:space="preserve">: het is belangrijk om Welzijn te includeren in </w:t>
      </w:r>
      <w:r w:rsidR="00E740EA" w:rsidRPr="003240D2">
        <w:t>de stedelijke ontwikkelingen</w:t>
      </w:r>
      <w:r w:rsidR="00E505D7" w:rsidRPr="003240D2">
        <w:t xml:space="preserve">. De </w:t>
      </w:r>
      <w:r w:rsidR="00E740EA" w:rsidRPr="003240D2">
        <w:t xml:space="preserve">gemeente Eindhoven </w:t>
      </w:r>
      <w:r w:rsidR="00E505D7" w:rsidRPr="003240D2">
        <w:t xml:space="preserve">ziet hier ook </w:t>
      </w:r>
      <w:r w:rsidR="00794B89" w:rsidRPr="003240D2">
        <w:t xml:space="preserve">het belang van. </w:t>
      </w:r>
      <w:r w:rsidR="00E740EA" w:rsidRPr="003240D2">
        <w:t xml:space="preserve">De impact van de </w:t>
      </w:r>
      <w:r w:rsidR="00716C78" w:rsidRPr="003240D2">
        <w:t>schaalsprong op de samenleving en de rol van Lumens hierin, zal onderdeel worden van de volgende meerjarenstrategie.</w:t>
      </w:r>
      <w:r w:rsidR="0093399E">
        <w:t xml:space="preserve"> </w:t>
      </w:r>
    </w:p>
    <w:p w14:paraId="027B61E4" w14:textId="77777777" w:rsidR="00870ED0" w:rsidRPr="003C64D9" w:rsidRDefault="00870ED0" w:rsidP="00D070B2">
      <w:pPr>
        <w:spacing w:line="240" w:lineRule="auto"/>
      </w:pPr>
    </w:p>
    <w:p w14:paraId="1909369F" w14:textId="77777777" w:rsidR="005A6B1F" w:rsidRPr="00FD3183" w:rsidRDefault="005A6B1F" w:rsidP="00D070B2">
      <w:pPr>
        <w:pStyle w:val="Kop4"/>
        <w:spacing w:before="0" w:line="240" w:lineRule="auto"/>
        <w:rPr>
          <w:b/>
          <w:bCs/>
          <w:sz w:val="24"/>
          <w:szCs w:val="24"/>
        </w:rPr>
      </w:pPr>
      <w:r w:rsidRPr="00FD3183">
        <w:rPr>
          <w:b/>
          <w:bCs/>
          <w:sz w:val="24"/>
          <w:szCs w:val="24"/>
        </w:rPr>
        <w:t>Strategie</w:t>
      </w:r>
    </w:p>
    <w:p w14:paraId="4E2B01D8" w14:textId="0DE0B9BC" w:rsidR="00B36EFD" w:rsidRDefault="005A6B1F" w:rsidP="00D070B2">
      <w:pPr>
        <w:spacing w:line="240" w:lineRule="auto"/>
      </w:pPr>
      <w:r w:rsidRPr="00FD3183">
        <w:t>202</w:t>
      </w:r>
      <w:r w:rsidR="00EA0B69" w:rsidRPr="00FD3183">
        <w:t>5</w:t>
      </w:r>
      <w:r w:rsidRPr="00FD3183">
        <w:t xml:space="preserve"> was het </w:t>
      </w:r>
      <w:r w:rsidR="00EA0B69" w:rsidRPr="00FD3183">
        <w:t>tweede</w:t>
      </w:r>
      <w:r w:rsidRPr="00FD3183">
        <w:t xml:space="preserve"> jaar van de Meerjarenstrategie 2024-2026. </w:t>
      </w:r>
      <w:r w:rsidR="0015331E">
        <w:t xml:space="preserve">Het onderwerp Positionering en Strategie heeft de RvT besproken met bestuurder en MT in een strategiesessie. </w:t>
      </w:r>
      <w:r w:rsidR="007D28CD">
        <w:t xml:space="preserve">De vragen die daarbij centraal stonden waren: </w:t>
      </w:r>
      <w:r w:rsidRPr="00FD3183">
        <w:t xml:space="preserve"> </w:t>
      </w:r>
    </w:p>
    <w:p w14:paraId="5FE738CE" w14:textId="03CFFFB4" w:rsidR="007D28CD" w:rsidRDefault="0048673C" w:rsidP="00D070B2">
      <w:pPr>
        <w:pStyle w:val="Lijstalinea"/>
        <w:numPr>
          <w:ilvl w:val="0"/>
          <w:numId w:val="8"/>
        </w:numPr>
        <w:spacing w:line="240" w:lineRule="auto"/>
      </w:pPr>
      <w:r>
        <w:t xml:space="preserve">Blik op extern: hoe gaat Lumens om met </w:t>
      </w:r>
      <w:r w:rsidR="00406749">
        <w:t xml:space="preserve">de grote maatschappelijke vragen in het sociaal domein </w:t>
      </w:r>
      <w:r w:rsidR="001B4A3E">
        <w:t xml:space="preserve">in een tijd waarin opdrachtgevers (gemeenten) onder </w:t>
      </w:r>
      <w:r w:rsidR="001C1AF6">
        <w:t>financiële</w:t>
      </w:r>
      <w:r w:rsidR="001B4A3E">
        <w:t xml:space="preserve"> druk staan.</w:t>
      </w:r>
      <w:r w:rsidR="00A67D54">
        <w:t xml:space="preserve"> </w:t>
      </w:r>
      <w:r w:rsidR="00EC5287">
        <w:t>Hoe kan L</w:t>
      </w:r>
      <w:r w:rsidR="009F6D24">
        <w:t>umens vanuit de krimp de blik houden op groeikansen.</w:t>
      </w:r>
    </w:p>
    <w:p w14:paraId="2D2CC89C" w14:textId="0B7FD706" w:rsidR="001B4A3E" w:rsidRPr="00FD3183" w:rsidRDefault="001B4A3E" w:rsidP="00D070B2">
      <w:pPr>
        <w:pStyle w:val="Lijstalinea"/>
        <w:numPr>
          <w:ilvl w:val="0"/>
          <w:numId w:val="8"/>
        </w:numPr>
        <w:spacing w:line="240" w:lineRule="auto"/>
      </w:pPr>
      <w:r>
        <w:t xml:space="preserve">Blik op extern: hoe kan Lumens </w:t>
      </w:r>
      <w:r w:rsidR="00BD60D0">
        <w:t xml:space="preserve">professionele autonomie en vakmanschap optimaal </w:t>
      </w:r>
      <w:r w:rsidR="00FA3D60">
        <w:t>sturen en benutten</w:t>
      </w:r>
      <w:r w:rsidR="00BD60D0">
        <w:t xml:space="preserve"> om aan te sluiten bij de behoeften van inwoners</w:t>
      </w:r>
      <w:r w:rsidR="006B3CF1">
        <w:t xml:space="preserve">. </w:t>
      </w:r>
    </w:p>
    <w:p w14:paraId="1E89ABD3" w14:textId="024B5E3F" w:rsidR="00D070B2" w:rsidRDefault="00FC267A" w:rsidP="00D070B2">
      <w:pPr>
        <w:spacing w:line="240" w:lineRule="auto"/>
      </w:pPr>
      <w:r w:rsidRPr="00090B22">
        <w:t>De kernboodschap was: Lumens wil bestaanszekerheid en veerkracht vergroten door wijkgericht maatwerk</w:t>
      </w:r>
      <w:r w:rsidR="006C2206">
        <w:t xml:space="preserve"> en </w:t>
      </w:r>
      <w:r w:rsidRPr="00090B22">
        <w:t xml:space="preserve">het versterken van </w:t>
      </w:r>
      <w:proofErr w:type="spellStart"/>
      <w:r w:rsidRPr="00090B22">
        <w:t>communities</w:t>
      </w:r>
      <w:proofErr w:type="spellEnd"/>
      <w:r w:rsidR="006C2206">
        <w:t>.</w:t>
      </w:r>
      <w:r w:rsidRPr="00090B22">
        <w:t xml:space="preserve"> </w:t>
      </w:r>
      <w:r w:rsidR="006C2206">
        <w:t xml:space="preserve">Daarbij is het belangrijk de organisatie </w:t>
      </w:r>
      <w:r w:rsidRPr="00090B22">
        <w:t>sterk te profileren als beleidsbepalende netwerkorganisatie die impact zichtbaar maakt.</w:t>
      </w:r>
      <w:r w:rsidR="00D070B2">
        <w:t xml:space="preserve"> </w:t>
      </w:r>
    </w:p>
    <w:p w14:paraId="4700A76F" w14:textId="3BBB4B8F" w:rsidR="005A6B1F" w:rsidRPr="00F651C7" w:rsidRDefault="005A6B1F" w:rsidP="00D070B2">
      <w:pPr>
        <w:spacing w:line="240" w:lineRule="auto"/>
        <w:rPr>
          <w:highlight w:val="yellow"/>
        </w:rPr>
      </w:pPr>
    </w:p>
    <w:p w14:paraId="7F24224A" w14:textId="77777777" w:rsidR="005A6B1F" w:rsidRPr="006A103A" w:rsidRDefault="005A6B1F" w:rsidP="00D070B2">
      <w:pPr>
        <w:pStyle w:val="Kop4"/>
        <w:spacing w:before="0" w:line="240" w:lineRule="auto"/>
        <w:rPr>
          <w:b/>
          <w:bCs/>
          <w:sz w:val="24"/>
          <w:szCs w:val="24"/>
        </w:rPr>
      </w:pPr>
      <w:r w:rsidRPr="006A103A">
        <w:rPr>
          <w:b/>
          <w:bCs/>
          <w:sz w:val="24"/>
          <w:szCs w:val="24"/>
        </w:rPr>
        <w:t>Overleggen Raad van Toezicht</w:t>
      </w:r>
    </w:p>
    <w:p w14:paraId="28447056" w14:textId="4C279C31" w:rsidR="005A6B1F" w:rsidRPr="006A103A" w:rsidRDefault="005A6B1F" w:rsidP="00D070B2">
      <w:pPr>
        <w:spacing w:line="240" w:lineRule="auto"/>
        <w:rPr>
          <w:color w:val="FF0000"/>
        </w:rPr>
      </w:pPr>
      <w:r w:rsidRPr="006A103A">
        <w:rPr>
          <w:color w:val="000000" w:themeColor="text1"/>
        </w:rPr>
        <w:t xml:space="preserve">In 2024 heeft de RvT </w:t>
      </w:r>
      <w:r w:rsidR="00232AB6" w:rsidRPr="006A103A">
        <w:rPr>
          <w:color w:val="000000" w:themeColor="text1"/>
        </w:rPr>
        <w:t>zes</w:t>
      </w:r>
      <w:r w:rsidRPr="006A103A">
        <w:rPr>
          <w:color w:val="000000" w:themeColor="text1"/>
        </w:rPr>
        <w:t xml:space="preserve"> keer overlegd. In de overleggen staat </w:t>
      </w:r>
      <w:r w:rsidR="006C2206">
        <w:rPr>
          <w:color w:val="000000" w:themeColor="text1"/>
        </w:rPr>
        <w:t xml:space="preserve">naast de periodieke inhoudelijke en financiële rapportages ook </w:t>
      </w:r>
      <w:r w:rsidRPr="006A103A">
        <w:rPr>
          <w:color w:val="000000" w:themeColor="text1"/>
        </w:rPr>
        <w:t>een actueel thema op de agenda</w:t>
      </w:r>
      <w:r w:rsidR="006C2206">
        <w:rPr>
          <w:color w:val="000000" w:themeColor="text1"/>
        </w:rPr>
        <w:t xml:space="preserve"> dat door een medewerker specifiek wordt ingeleid.</w:t>
      </w:r>
      <w:r w:rsidRPr="006A103A">
        <w:rPr>
          <w:color w:val="000000" w:themeColor="text1"/>
        </w:rPr>
        <w:t xml:space="preserve"> </w:t>
      </w:r>
    </w:p>
    <w:p w14:paraId="64966C08" w14:textId="77777777" w:rsidR="005A6B1F" w:rsidRPr="00F651C7" w:rsidRDefault="005A6B1F" w:rsidP="00D070B2">
      <w:pPr>
        <w:spacing w:line="240" w:lineRule="auto"/>
        <w:rPr>
          <w:color w:val="FF0000"/>
          <w:highlight w:val="yellow"/>
        </w:rPr>
      </w:pPr>
    </w:p>
    <w:p w14:paraId="79BB521C" w14:textId="1F4D7B15" w:rsidR="005A6B1F" w:rsidRPr="00E541A5" w:rsidRDefault="005A6B1F" w:rsidP="00D070B2">
      <w:pPr>
        <w:spacing w:line="240" w:lineRule="auto"/>
      </w:pPr>
      <w:r w:rsidRPr="00E541A5">
        <w:t>De inhoudelijk thema’s die professionals in 202</w:t>
      </w:r>
      <w:r w:rsidR="00E541A5" w:rsidRPr="00E541A5">
        <w:t>5</w:t>
      </w:r>
      <w:r w:rsidRPr="00E541A5">
        <w:t xml:space="preserve"> aan de RvT presenteerden waren:</w:t>
      </w:r>
    </w:p>
    <w:p w14:paraId="2249E8E5" w14:textId="34390ECD" w:rsidR="005A6B1F" w:rsidRDefault="00BD03CE" w:rsidP="00D070B2">
      <w:pPr>
        <w:pStyle w:val="Lijstalinea"/>
        <w:numPr>
          <w:ilvl w:val="0"/>
          <w:numId w:val="7"/>
        </w:numPr>
        <w:spacing w:after="0" w:line="240" w:lineRule="auto"/>
      </w:pPr>
      <w:r>
        <w:t>D</w:t>
      </w:r>
      <w:r w:rsidR="00372002">
        <w:t xml:space="preserve">e </w:t>
      </w:r>
      <w:proofErr w:type="spellStart"/>
      <w:r w:rsidR="009612CA" w:rsidRPr="009612CA">
        <w:t>social</w:t>
      </w:r>
      <w:proofErr w:type="spellEnd"/>
      <w:r w:rsidR="009612CA" w:rsidRPr="009612CA">
        <w:t xml:space="preserve"> mediastrategie, de vernieuwde website en digitale dienstverlening.</w:t>
      </w:r>
    </w:p>
    <w:p w14:paraId="42BE0E10" w14:textId="7CFA267C" w:rsidR="00291ECC" w:rsidRPr="009612CA" w:rsidRDefault="00B6109F" w:rsidP="00D070B2">
      <w:pPr>
        <w:pStyle w:val="Lijstalinea"/>
        <w:numPr>
          <w:ilvl w:val="0"/>
          <w:numId w:val="7"/>
        </w:numPr>
        <w:spacing w:after="0" w:line="240" w:lineRule="auto"/>
      </w:pPr>
      <w:r>
        <w:t>Pedagogische Opvoedondersteuning in Eindhoven.</w:t>
      </w:r>
    </w:p>
    <w:p w14:paraId="08786240" w14:textId="669442E9" w:rsidR="005A6B1F" w:rsidRPr="00E541A5" w:rsidRDefault="003C0604" w:rsidP="00D070B2">
      <w:pPr>
        <w:pStyle w:val="Lijstalinea"/>
        <w:numPr>
          <w:ilvl w:val="0"/>
          <w:numId w:val="7"/>
        </w:numPr>
        <w:spacing w:after="0" w:line="240" w:lineRule="auto"/>
      </w:pPr>
      <w:r>
        <w:t xml:space="preserve">Speelpark </w:t>
      </w:r>
      <w:r w:rsidR="008600FE" w:rsidRPr="00E541A5">
        <w:t xml:space="preserve">De </w:t>
      </w:r>
      <w:r w:rsidR="00E541A5" w:rsidRPr="00E541A5">
        <w:t>Splinter</w:t>
      </w:r>
      <w:r w:rsidR="00FD61FB">
        <w:t xml:space="preserve"> – veel meer dan een </w:t>
      </w:r>
      <w:r w:rsidR="007916FE">
        <w:t>openlucht-speelparadijs.</w:t>
      </w:r>
    </w:p>
    <w:p w14:paraId="0D5DE88D" w14:textId="58487A19" w:rsidR="005A6B1F" w:rsidRPr="00E541A5" w:rsidRDefault="008600FE" w:rsidP="00D070B2">
      <w:pPr>
        <w:pStyle w:val="Lijstalinea"/>
        <w:numPr>
          <w:ilvl w:val="0"/>
          <w:numId w:val="7"/>
        </w:numPr>
        <w:spacing w:after="0" w:line="240" w:lineRule="auto"/>
      </w:pPr>
      <w:r w:rsidRPr="00E541A5">
        <w:t>Mentale Gezondheid Jeugd: Eindje Verder en Jongeren Perspectieffonds</w:t>
      </w:r>
      <w:r w:rsidR="00B65905">
        <w:t>.</w:t>
      </w:r>
    </w:p>
    <w:p w14:paraId="66AF1EA5" w14:textId="77777777" w:rsidR="005A6B1F" w:rsidRPr="00F651C7" w:rsidRDefault="005A6B1F" w:rsidP="00D070B2">
      <w:pPr>
        <w:spacing w:line="240" w:lineRule="auto"/>
        <w:rPr>
          <w:color w:val="000000" w:themeColor="text1"/>
          <w:highlight w:val="yellow"/>
        </w:rPr>
      </w:pPr>
    </w:p>
    <w:p w14:paraId="67378D56" w14:textId="77777777" w:rsidR="005A6B1F" w:rsidRPr="0076793C" w:rsidRDefault="005A6B1F" w:rsidP="00D070B2">
      <w:pPr>
        <w:pStyle w:val="Kop4"/>
        <w:spacing w:before="0" w:line="240" w:lineRule="auto"/>
        <w:rPr>
          <w:b/>
          <w:bCs/>
          <w:sz w:val="24"/>
          <w:szCs w:val="24"/>
        </w:rPr>
      </w:pPr>
      <w:r w:rsidRPr="0076793C">
        <w:rPr>
          <w:b/>
          <w:bCs/>
          <w:sz w:val="24"/>
          <w:szCs w:val="24"/>
        </w:rPr>
        <w:t>Overleggen Raad van Toezicht met de overlegorganen</w:t>
      </w:r>
    </w:p>
    <w:p w14:paraId="074DC85F" w14:textId="4758D508" w:rsidR="005A6B1F" w:rsidRDefault="005A6B1F" w:rsidP="00D070B2">
      <w:pPr>
        <w:spacing w:line="240" w:lineRule="auto"/>
      </w:pPr>
      <w:r w:rsidRPr="00857878">
        <w:t xml:space="preserve">Twee leden van de Raad van Toezicht hebben de twee overleggen </w:t>
      </w:r>
      <w:r w:rsidR="00200CEE" w:rsidRPr="00857878">
        <w:t>met</w:t>
      </w:r>
      <w:r w:rsidRPr="00857878">
        <w:t xml:space="preserve"> de Ondernemingsraad </w:t>
      </w:r>
      <w:r w:rsidR="005E7959">
        <w:t>en de bestuurder bijge</w:t>
      </w:r>
      <w:r w:rsidR="000E5DE0">
        <w:t xml:space="preserve">woond </w:t>
      </w:r>
      <w:r w:rsidR="005E7959">
        <w:t>(artikel 24 overleg).</w:t>
      </w:r>
      <w:r w:rsidR="005A4947">
        <w:t xml:space="preserve"> </w:t>
      </w:r>
      <w:r w:rsidR="00B07043">
        <w:t xml:space="preserve">De </w:t>
      </w:r>
      <w:r w:rsidR="00380BD5">
        <w:t xml:space="preserve">RvT </w:t>
      </w:r>
      <w:r w:rsidR="00716581">
        <w:t>heeft in deze overleggen bij de OR onder andere informatie opgehaald over hoe medewerkers de kanteling en doorontwikkeling ervaren.</w:t>
      </w:r>
    </w:p>
    <w:p w14:paraId="4E0CA16E" w14:textId="77777777" w:rsidR="005A6B1F" w:rsidRPr="00F651C7" w:rsidRDefault="005A6B1F" w:rsidP="00D070B2">
      <w:pPr>
        <w:spacing w:line="240" w:lineRule="auto"/>
        <w:rPr>
          <w:i/>
          <w:iCs/>
          <w:color w:val="FF0000"/>
          <w:highlight w:val="yellow"/>
        </w:rPr>
      </w:pPr>
    </w:p>
    <w:p w14:paraId="5599C649" w14:textId="09956B37" w:rsidR="005A6B1F" w:rsidRPr="004C7DA1" w:rsidRDefault="005A6B1F" w:rsidP="00D070B2">
      <w:pPr>
        <w:pStyle w:val="Kop4"/>
        <w:spacing w:before="0" w:line="240" w:lineRule="auto"/>
        <w:rPr>
          <w:b/>
          <w:bCs/>
          <w:sz w:val="24"/>
          <w:szCs w:val="24"/>
        </w:rPr>
      </w:pPr>
      <w:r w:rsidRPr="004C7DA1">
        <w:rPr>
          <w:b/>
          <w:bCs/>
          <w:sz w:val="24"/>
          <w:szCs w:val="24"/>
        </w:rPr>
        <w:t>Financiën</w:t>
      </w:r>
    </w:p>
    <w:p w14:paraId="14A07FB3" w14:textId="77777777" w:rsidR="004C7DA1" w:rsidRPr="004C7DA1" w:rsidRDefault="004C7DA1" w:rsidP="004C7DA1">
      <w:pPr>
        <w:spacing w:line="240" w:lineRule="auto"/>
      </w:pPr>
      <w:r w:rsidRPr="004C7DA1">
        <w:t>Financieel sluit Lumens 2025 af met een positief resultaat van € 0,23 miljoen (€ 234.208) bij een omzet van</w:t>
      </w:r>
    </w:p>
    <w:p w14:paraId="6C4FB56A" w14:textId="09AB04B3" w:rsidR="004C7DA1" w:rsidRPr="004C7DA1" w:rsidRDefault="004C7DA1" w:rsidP="004C7DA1">
      <w:pPr>
        <w:spacing w:line="240" w:lineRule="auto"/>
      </w:pPr>
      <w:r w:rsidRPr="004C7DA1">
        <w:t xml:space="preserve">€ 26,46 miljoen (€ 24.463.482), waarmee de exploitatie </w:t>
      </w:r>
      <w:proofErr w:type="gramStart"/>
      <w:r w:rsidRPr="004C7DA1">
        <w:t>conform</w:t>
      </w:r>
      <w:proofErr w:type="gramEnd"/>
      <w:r w:rsidRPr="004C7DA1">
        <w:t xml:space="preserve"> begroting sluitend is. Het weerstandsvermogen verbeterde naar 6,4% (2024: 5,9%) en ligt daarmee binnen de interne bandbreedte van 5</w:t>
      </w:r>
      <w:r w:rsidR="00FB150B">
        <w:t>-</w:t>
      </w:r>
      <w:r w:rsidRPr="004C7DA1">
        <w:t xml:space="preserve">10%; ook de solvabiliteit (24,2%) en liquiditeitsratio (1,40) namen toe. De Raad van Toezicht constateert dat de financiële positie in 2025 is versterkt, maar dat de buffer in de </w:t>
      </w:r>
      <w:proofErr w:type="gramStart"/>
      <w:r w:rsidRPr="004C7DA1">
        <w:lastRenderedPageBreak/>
        <w:t>onderkant</w:t>
      </w:r>
      <w:proofErr w:type="gramEnd"/>
      <w:r w:rsidRPr="004C7DA1">
        <w:t xml:space="preserve"> van de normband blijft en daarmee gevoelig is voor schommelingen in volume, indexatie en gemeentelijke besluitvorming. Voor 2026 is een sluitende begroting vastgesteld; de Raad volgt scherp de margedruk door hogere kostenstijging dan tariefontwikkeling en de tijdelijke voortzetting van de exploitatie van de Eindhovense wijkcentra.</w:t>
      </w:r>
    </w:p>
    <w:p w14:paraId="48EF96F9" w14:textId="77777777" w:rsidR="004C7DA1" w:rsidRPr="004C7DA1" w:rsidRDefault="004C7DA1" w:rsidP="004C7DA1">
      <w:pPr>
        <w:spacing w:line="240" w:lineRule="auto"/>
      </w:pPr>
    </w:p>
    <w:p w14:paraId="2A7FA4DA" w14:textId="77777777" w:rsidR="004C7DA1" w:rsidRPr="004C7DA1" w:rsidRDefault="004C7DA1" w:rsidP="004C7DA1">
      <w:pPr>
        <w:spacing w:line="240" w:lineRule="auto"/>
      </w:pPr>
      <w:r w:rsidRPr="004C7DA1">
        <w:t>De Raad heeft – mede via de auditcommissie – toezicht gehouden op de opzet en werking van het risico- en beheersingssysteem, passend bij aard en omvang van Lumens. Op basis van de planning</w:t>
      </w:r>
      <w:r w:rsidRPr="004C7DA1">
        <w:noBreakHyphen/>
        <w:t xml:space="preserve"> &amp;</w:t>
      </w:r>
    </w:p>
    <w:p w14:paraId="7DE4033A" w14:textId="77777777" w:rsidR="004C7DA1" w:rsidRPr="004C7DA1" w:rsidRDefault="004C7DA1" w:rsidP="004C7DA1">
      <w:pPr>
        <w:spacing w:line="240" w:lineRule="auto"/>
      </w:pPr>
      <w:proofErr w:type="spellStart"/>
      <w:proofErr w:type="gramStart"/>
      <w:r w:rsidRPr="004C7DA1">
        <w:t>controlcyclus</w:t>
      </w:r>
      <w:proofErr w:type="spellEnd"/>
      <w:proofErr w:type="gramEnd"/>
      <w:r w:rsidRPr="004C7DA1">
        <w:t xml:space="preserve">, periodieke rapportages en de bespreking van kernrisico’s en beheersmaatregelen heeft de Raad zich ervan overtuigd dat dit stelsel in 2025 efficiënt en effectief heeft gefunctioneerd, en dat verdere versterking (o.a. </w:t>
      </w:r>
      <w:proofErr w:type="spellStart"/>
      <w:r w:rsidRPr="004C7DA1">
        <w:t>KRI’s</w:t>
      </w:r>
      <w:proofErr w:type="spellEnd"/>
      <w:r w:rsidRPr="004C7DA1">
        <w:t>, scenario’s en digitale weerbaarheid/cybersecurity) structureel is geborgd.</w:t>
      </w:r>
    </w:p>
    <w:p w14:paraId="4E01DB7A" w14:textId="77777777" w:rsidR="000138F2" w:rsidRPr="00F651C7" w:rsidRDefault="000138F2" w:rsidP="00D070B2">
      <w:pPr>
        <w:spacing w:line="240" w:lineRule="auto"/>
        <w:rPr>
          <w:highlight w:val="yellow"/>
        </w:rPr>
      </w:pPr>
    </w:p>
    <w:p w14:paraId="2D35E349" w14:textId="7DE8FAA2" w:rsidR="005A6B1F" w:rsidRPr="005B32F4" w:rsidRDefault="005A6B1F" w:rsidP="00D070B2">
      <w:pPr>
        <w:pStyle w:val="Kop4"/>
        <w:spacing w:before="0" w:line="240" w:lineRule="auto"/>
        <w:rPr>
          <w:b/>
          <w:bCs/>
          <w:sz w:val="24"/>
          <w:szCs w:val="24"/>
        </w:rPr>
      </w:pPr>
      <w:r w:rsidRPr="005B32F4">
        <w:rPr>
          <w:b/>
          <w:bCs/>
          <w:sz w:val="24"/>
          <w:szCs w:val="24"/>
        </w:rPr>
        <w:t>Remuneratiecommissie</w:t>
      </w:r>
    </w:p>
    <w:p w14:paraId="075D3E5D" w14:textId="2DD912CD" w:rsidR="005A6B1F" w:rsidRPr="005B32F4" w:rsidRDefault="00730849" w:rsidP="00D070B2">
      <w:pPr>
        <w:spacing w:line="240" w:lineRule="auto"/>
      </w:pPr>
      <w:r>
        <w:t xml:space="preserve">De </w:t>
      </w:r>
      <w:r w:rsidR="005A6B1F" w:rsidRPr="005B32F4">
        <w:t>remuneratiecommissie</w:t>
      </w:r>
      <w:r>
        <w:t xml:space="preserve"> heeft tweemaal met de bestuurder overlegd</w:t>
      </w:r>
      <w:r w:rsidR="005A6B1F" w:rsidRPr="005B32F4">
        <w:t xml:space="preserve">. De concretisering van de bestuurlijke opdracht was hierin onderwerp van gesprek. </w:t>
      </w:r>
    </w:p>
    <w:p w14:paraId="40276278" w14:textId="77777777" w:rsidR="000E5088" w:rsidRPr="00F651C7" w:rsidRDefault="000E5088" w:rsidP="00D070B2">
      <w:pPr>
        <w:spacing w:line="240" w:lineRule="auto"/>
        <w:rPr>
          <w:highlight w:val="yellow"/>
        </w:rPr>
      </w:pPr>
    </w:p>
    <w:p w14:paraId="1F2E3D45" w14:textId="77777777" w:rsidR="005A6B1F" w:rsidRPr="00647992" w:rsidRDefault="005A6B1F" w:rsidP="00D070B2">
      <w:pPr>
        <w:pStyle w:val="Kop4"/>
        <w:spacing w:before="0" w:line="240" w:lineRule="auto"/>
        <w:rPr>
          <w:b/>
          <w:bCs/>
          <w:sz w:val="24"/>
          <w:szCs w:val="24"/>
        </w:rPr>
      </w:pPr>
      <w:r w:rsidRPr="00647992">
        <w:rPr>
          <w:b/>
          <w:bCs/>
          <w:sz w:val="24"/>
          <w:szCs w:val="24"/>
        </w:rPr>
        <w:t>Auditcommissie</w:t>
      </w:r>
    </w:p>
    <w:p w14:paraId="4BF13E7B" w14:textId="264C69B5" w:rsidR="005A6B1F" w:rsidRPr="00F651C7" w:rsidRDefault="005A6B1F" w:rsidP="00D070B2">
      <w:pPr>
        <w:spacing w:line="240" w:lineRule="auto"/>
        <w:rPr>
          <w:rFonts w:cstheme="minorHAnsi"/>
          <w:highlight w:val="yellow"/>
        </w:rPr>
      </w:pPr>
      <w:r w:rsidRPr="00647992">
        <w:rPr>
          <w:rFonts w:cstheme="minorHAnsi"/>
        </w:rPr>
        <w:t xml:space="preserve">De Auditcommissie richt zich in het bijzonder op Toezicht op financiële zaken in relatie tot de strategie. Vaste onderdelen zijn de financiële kaderbrief, de begroting, de jaarrekening, </w:t>
      </w:r>
      <w:r w:rsidR="00781582">
        <w:rPr>
          <w:rFonts w:cstheme="minorHAnsi"/>
        </w:rPr>
        <w:t xml:space="preserve">tariefstelling, </w:t>
      </w:r>
      <w:r w:rsidRPr="00647992">
        <w:rPr>
          <w:rFonts w:cstheme="minorHAnsi"/>
        </w:rPr>
        <w:t>periodieke financiële rapportages en risicomanagement</w:t>
      </w:r>
      <w:r w:rsidRPr="007D4235">
        <w:rPr>
          <w:rFonts w:cstheme="minorHAnsi"/>
        </w:rPr>
        <w:t xml:space="preserve">. De commissie kwam in </w:t>
      </w:r>
      <w:r w:rsidR="006651F0" w:rsidRPr="006651F0">
        <w:rPr>
          <w:rFonts w:cstheme="minorHAnsi"/>
        </w:rPr>
        <w:t>2025 zes</w:t>
      </w:r>
      <w:r w:rsidRPr="006651F0">
        <w:rPr>
          <w:rFonts w:cstheme="minorHAnsi"/>
        </w:rPr>
        <w:t xml:space="preserve"> keer met de bestuurder en concerncontroller bij </w:t>
      </w:r>
      <w:r w:rsidRPr="00743742">
        <w:rPr>
          <w:rFonts w:cstheme="minorHAnsi"/>
        </w:rPr>
        <w:t>elkaar. Jaarlijks</w:t>
      </w:r>
      <w:r w:rsidRPr="007423E3">
        <w:rPr>
          <w:rFonts w:cstheme="minorHAnsi"/>
        </w:rPr>
        <w:t xml:space="preserve"> in maart vindt een overleg plaats waarbij ook de externe accountant, aansluit, waarin onder andere de jaarrekening en het accountantsverslag besproken worden. De externe accountant sluit ook aan tijdens een vergadering met de volledige Raad. In die vergadering wordt de jaarrekening vastgesteld.</w:t>
      </w:r>
      <w:r w:rsidRPr="00F651C7">
        <w:rPr>
          <w:rFonts w:cstheme="minorHAnsi"/>
          <w:highlight w:val="yellow"/>
        </w:rPr>
        <w:t xml:space="preserve"> </w:t>
      </w:r>
    </w:p>
    <w:p w14:paraId="00F6DA4A" w14:textId="588BF087" w:rsidR="005A6B1F" w:rsidRPr="002B7680" w:rsidRDefault="005A6B1F" w:rsidP="00D070B2">
      <w:pPr>
        <w:spacing w:line="240" w:lineRule="auto"/>
        <w:rPr>
          <w:rFonts w:cstheme="minorHAnsi"/>
        </w:rPr>
      </w:pPr>
      <w:r w:rsidRPr="002B7680">
        <w:rPr>
          <w:rFonts w:cstheme="minorHAnsi"/>
        </w:rPr>
        <w:t xml:space="preserve">Andere onderwerpen in de Auditcommissie waren: de situatie rondom de </w:t>
      </w:r>
      <w:r w:rsidR="009D7043">
        <w:rPr>
          <w:rFonts w:cstheme="minorHAnsi"/>
        </w:rPr>
        <w:t>doorstart van de exploitatie</w:t>
      </w:r>
      <w:r w:rsidR="00781582">
        <w:rPr>
          <w:rFonts w:cstheme="minorHAnsi"/>
        </w:rPr>
        <w:t xml:space="preserve"> van de wijkcentra </w:t>
      </w:r>
      <w:r w:rsidRPr="002B7680">
        <w:rPr>
          <w:rFonts w:cstheme="minorHAnsi"/>
        </w:rPr>
        <w:t>in Eindhoven</w:t>
      </w:r>
      <w:r w:rsidR="00781582">
        <w:rPr>
          <w:rFonts w:cstheme="minorHAnsi"/>
        </w:rPr>
        <w:t>.</w:t>
      </w:r>
      <w:r w:rsidR="005A3FCC">
        <w:rPr>
          <w:rFonts w:cstheme="minorHAnsi"/>
        </w:rPr>
        <w:t xml:space="preserve"> </w:t>
      </w:r>
    </w:p>
    <w:p w14:paraId="1921080D" w14:textId="77777777" w:rsidR="005A6B1F" w:rsidRPr="00F651C7" w:rsidRDefault="005A6B1F" w:rsidP="00D070B2">
      <w:pPr>
        <w:spacing w:line="240" w:lineRule="auto"/>
        <w:rPr>
          <w:rFonts w:cstheme="minorHAnsi"/>
          <w:highlight w:val="yellow"/>
        </w:rPr>
      </w:pPr>
    </w:p>
    <w:p w14:paraId="233E92EC" w14:textId="77777777" w:rsidR="005A6B1F" w:rsidRPr="0043452C" w:rsidRDefault="005A6B1F" w:rsidP="00D070B2">
      <w:pPr>
        <w:pStyle w:val="Kop4"/>
        <w:spacing w:before="0" w:line="240" w:lineRule="auto"/>
        <w:rPr>
          <w:b/>
          <w:bCs/>
          <w:sz w:val="24"/>
          <w:szCs w:val="24"/>
        </w:rPr>
      </w:pPr>
      <w:r w:rsidRPr="0043452C">
        <w:rPr>
          <w:b/>
          <w:bCs/>
          <w:sz w:val="24"/>
          <w:szCs w:val="24"/>
        </w:rPr>
        <w:t>Commissie Kwaliteit &amp; Veiligheid</w:t>
      </w:r>
    </w:p>
    <w:p w14:paraId="32972F8E" w14:textId="53D4479A" w:rsidR="005A6B1F" w:rsidRPr="0043452C" w:rsidRDefault="005A6B1F" w:rsidP="00D070B2">
      <w:pPr>
        <w:spacing w:line="240" w:lineRule="auto"/>
      </w:pPr>
      <w:r w:rsidRPr="0043452C">
        <w:t>De commissie Kwaliteit &amp; Veiligheid heeft viermaal overlegd in 202</w:t>
      </w:r>
      <w:r w:rsidR="0043452C" w:rsidRPr="0043452C">
        <w:t>5</w:t>
      </w:r>
      <w:r w:rsidRPr="0043452C">
        <w:t>. De focus lag op de volgende onderwerpen:</w:t>
      </w:r>
    </w:p>
    <w:p w14:paraId="5726F6C6" w14:textId="727B44CE" w:rsidR="00A24460" w:rsidRPr="00341412" w:rsidRDefault="00A24460" w:rsidP="00D070B2">
      <w:pPr>
        <w:pStyle w:val="Lijstalinea"/>
        <w:numPr>
          <w:ilvl w:val="0"/>
          <w:numId w:val="6"/>
        </w:numPr>
        <w:spacing w:after="0" w:line="240" w:lineRule="auto"/>
      </w:pPr>
      <w:r w:rsidRPr="00341412">
        <w:t xml:space="preserve">De </w:t>
      </w:r>
      <w:proofErr w:type="spellStart"/>
      <w:r w:rsidR="009E1C37">
        <w:t>onderzoeksrapportages</w:t>
      </w:r>
      <w:proofErr w:type="spellEnd"/>
      <w:r w:rsidR="009E1C37">
        <w:t xml:space="preserve"> van </w:t>
      </w:r>
      <w:r w:rsidRPr="00341412">
        <w:t>de CIIO en de NVVK</w:t>
      </w:r>
      <w:r w:rsidR="009E1C37">
        <w:t xml:space="preserve"> voor de </w:t>
      </w:r>
      <w:proofErr w:type="spellStart"/>
      <w:r w:rsidR="009E1C37">
        <w:t>hercertificering</w:t>
      </w:r>
      <w:proofErr w:type="spellEnd"/>
      <w:r w:rsidR="009E1C37">
        <w:t>.</w:t>
      </w:r>
    </w:p>
    <w:p w14:paraId="5FA1A78E" w14:textId="5FA14101" w:rsidR="007E7C6C" w:rsidRPr="00341412" w:rsidRDefault="00E20CE6" w:rsidP="00D070B2">
      <w:pPr>
        <w:pStyle w:val="Lijstalinea"/>
        <w:numPr>
          <w:ilvl w:val="0"/>
          <w:numId w:val="6"/>
        </w:numPr>
        <w:spacing w:after="0" w:line="240" w:lineRule="auto"/>
      </w:pPr>
      <w:r w:rsidRPr="00341412">
        <w:t>Plan van Aanpak Ziekteverzuim</w:t>
      </w:r>
      <w:r w:rsidR="007E7C6C">
        <w:t xml:space="preserve"> en de</w:t>
      </w:r>
      <w:r w:rsidR="001C2101">
        <w:t xml:space="preserve"> voortgangsrapportages</w:t>
      </w:r>
      <w:r w:rsidR="007E7C6C">
        <w:t xml:space="preserve"> </w:t>
      </w:r>
      <w:r w:rsidR="001C2101">
        <w:t>V</w:t>
      </w:r>
      <w:r w:rsidR="007E7C6C">
        <w:t>erzuim</w:t>
      </w:r>
      <w:r w:rsidR="00232E34">
        <w:t>.</w:t>
      </w:r>
    </w:p>
    <w:p w14:paraId="6C871596" w14:textId="749AAAB0" w:rsidR="005A6B1F" w:rsidRDefault="005A6B1F" w:rsidP="00D070B2">
      <w:pPr>
        <w:pStyle w:val="Lijstalinea"/>
        <w:numPr>
          <w:ilvl w:val="0"/>
          <w:numId w:val="6"/>
        </w:numPr>
        <w:spacing w:after="0" w:line="240" w:lineRule="auto"/>
      </w:pPr>
      <w:r w:rsidRPr="00E94C6B">
        <w:t>De RI&amp;E: uitvoering en plan van aanpak</w:t>
      </w:r>
      <w:r w:rsidR="00A61BD5" w:rsidRPr="00E94C6B">
        <w:t xml:space="preserve"> en beheersinstrument hiervoor.</w:t>
      </w:r>
    </w:p>
    <w:p w14:paraId="5EA4BD96" w14:textId="3272C3B3" w:rsidR="00AB442C" w:rsidRPr="00E94C6B" w:rsidRDefault="00AB442C" w:rsidP="00D070B2">
      <w:pPr>
        <w:pStyle w:val="Lijstalinea"/>
        <w:numPr>
          <w:ilvl w:val="0"/>
          <w:numId w:val="6"/>
        </w:numPr>
        <w:spacing w:after="0" w:line="240" w:lineRule="auto"/>
      </w:pPr>
      <w:r>
        <w:t>De opstart van de VIM-commissie (Veilig Incident Melden)</w:t>
      </w:r>
    </w:p>
    <w:p w14:paraId="155402D2" w14:textId="59B649C8" w:rsidR="005A6B1F" w:rsidRDefault="007E7C6C" w:rsidP="00D070B2">
      <w:pPr>
        <w:pStyle w:val="Lijstalinea"/>
        <w:numPr>
          <w:ilvl w:val="0"/>
          <w:numId w:val="6"/>
        </w:numPr>
        <w:spacing w:after="0" w:line="240" w:lineRule="auto"/>
      </w:pPr>
      <w:r>
        <w:t xml:space="preserve">De resultaten van </w:t>
      </w:r>
      <w:r w:rsidR="005A6B1F" w:rsidRPr="007E7C6C">
        <w:t>Medewerkers Betrokkenheid Onderzoek.</w:t>
      </w:r>
    </w:p>
    <w:p w14:paraId="621DB2BF" w14:textId="230AE2E1" w:rsidR="00EB412F" w:rsidRPr="007E7C6C" w:rsidRDefault="00EB412F" w:rsidP="00D070B2">
      <w:pPr>
        <w:pStyle w:val="Lijstalinea"/>
        <w:numPr>
          <w:ilvl w:val="0"/>
          <w:numId w:val="6"/>
        </w:numPr>
        <w:spacing w:after="0" w:line="240" w:lineRule="auto"/>
      </w:pPr>
      <w:r>
        <w:t>De managementreview.</w:t>
      </w:r>
    </w:p>
    <w:p w14:paraId="52FCF859" w14:textId="3B732CC6" w:rsidR="005A6B1F" w:rsidRPr="00341412" w:rsidRDefault="00232E34" w:rsidP="00D070B2">
      <w:pPr>
        <w:pStyle w:val="Lijstalinea"/>
        <w:numPr>
          <w:ilvl w:val="0"/>
          <w:numId w:val="6"/>
        </w:numPr>
        <w:spacing w:after="0" w:line="240" w:lineRule="auto"/>
      </w:pPr>
      <w:r>
        <w:t xml:space="preserve">Het </w:t>
      </w:r>
      <w:r w:rsidR="005A6B1F" w:rsidRPr="00341412">
        <w:t>Jaarverslag van de vertrouwenspersoon, klachtencommissie.</w:t>
      </w:r>
    </w:p>
    <w:p w14:paraId="0C22DEB2" w14:textId="77777777" w:rsidR="005A6B1F" w:rsidRPr="00F651C7" w:rsidRDefault="005A6B1F" w:rsidP="00D070B2">
      <w:pPr>
        <w:spacing w:line="240" w:lineRule="auto"/>
        <w:rPr>
          <w:rFonts w:cstheme="minorHAnsi"/>
          <w:highlight w:val="yellow"/>
        </w:rPr>
      </w:pPr>
    </w:p>
    <w:p w14:paraId="30C6077D" w14:textId="1653D950" w:rsidR="005A6B1F" w:rsidRPr="00E135B2" w:rsidRDefault="005A6B1F" w:rsidP="00D070B2">
      <w:pPr>
        <w:pStyle w:val="Kop4"/>
        <w:spacing w:before="0" w:line="240" w:lineRule="auto"/>
        <w:rPr>
          <w:b/>
          <w:bCs/>
          <w:sz w:val="24"/>
          <w:szCs w:val="24"/>
        </w:rPr>
      </w:pPr>
      <w:r w:rsidRPr="00E135B2">
        <w:rPr>
          <w:b/>
          <w:bCs/>
          <w:sz w:val="24"/>
          <w:szCs w:val="24"/>
        </w:rPr>
        <w:t>Andere onderwerpen in 202</w:t>
      </w:r>
      <w:r w:rsidR="00997FCA" w:rsidRPr="00E135B2">
        <w:rPr>
          <w:b/>
          <w:bCs/>
          <w:sz w:val="24"/>
          <w:szCs w:val="24"/>
        </w:rPr>
        <w:t>5</w:t>
      </w:r>
      <w:r w:rsidRPr="00E135B2">
        <w:rPr>
          <w:b/>
          <w:bCs/>
          <w:sz w:val="24"/>
          <w:szCs w:val="24"/>
        </w:rPr>
        <w:t xml:space="preserve"> </w:t>
      </w:r>
    </w:p>
    <w:p w14:paraId="381A226C" w14:textId="0B33617A" w:rsidR="005A6B1F" w:rsidRPr="00E135B2" w:rsidRDefault="005A6B1F" w:rsidP="00D070B2">
      <w:pPr>
        <w:spacing w:line="240" w:lineRule="auto"/>
        <w:rPr>
          <w:rFonts w:cstheme="minorHAnsi"/>
        </w:rPr>
      </w:pPr>
      <w:r w:rsidRPr="00E135B2">
        <w:t xml:space="preserve">Onderwerpen die buiten </w:t>
      </w:r>
      <w:r w:rsidR="003277C6" w:rsidRPr="00E135B2">
        <w:t xml:space="preserve">de al </w:t>
      </w:r>
      <w:r w:rsidRPr="00E135B2">
        <w:t>genoemde onderwerpen aan de orde zijn geweest, zijn:</w:t>
      </w:r>
    </w:p>
    <w:p w14:paraId="1BC75D86" w14:textId="1A9C41C2" w:rsidR="00B12832" w:rsidRDefault="0077330D" w:rsidP="00D070B2">
      <w:pPr>
        <w:pStyle w:val="Lijstalinea"/>
        <w:numPr>
          <w:ilvl w:val="0"/>
          <w:numId w:val="3"/>
        </w:numPr>
        <w:spacing w:after="0" w:line="240" w:lineRule="auto"/>
        <w:rPr>
          <w:rFonts w:cstheme="minorHAnsi"/>
        </w:rPr>
      </w:pPr>
      <w:r w:rsidRPr="0077330D">
        <w:rPr>
          <w:rFonts w:cstheme="minorHAnsi"/>
        </w:rPr>
        <w:t xml:space="preserve">Het actualiseren van het </w:t>
      </w:r>
      <w:proofErr w:type="spellStart"/>
      <w:r w:rsidRPr="0077330D">
        <w:rPr>
          <w:rFonts w:cstheme="minorHAnsi"/>
        </w:rPr>
        <w:t>Toezichtskader</w:t>
      </w:r>
      <w:proofErr w:type="spellEnd"/>
      <w:r w:rsidR="00593096">
        <w:rPr>
          <w:rFonts w:cstheme="minorHAnsi"/>
        </w:rPr>
        <w:t>/</w:t>
      </w:r>
      <w:r w:rsidRPr="0077330D">
        <w:rPr>
          <w:rFonts w:cstheme="minorHAnsi"/>
        </w:rPr>
        <w:t>Toezichtsvisie</w:t>
      </w:r>
      <w:r w:rsidR="006C2206">
        <w:rPr>
          <w:rFonts w:cstheme="minorHAnsi"/>
        </w:rPr>
        <w:t xml:space="preserve">, </w:t>
      </w:r>
      <w:r w:rsidR="00593096">
        <w:rPr>
          <w:rFonts w:cstheme="minorHAnsi"/>
        </w:rPr>
        <w:t>het reglement</w:t>
      </w:r>
      <w:r w:rsidRPr="0077330D">
        <w:rPr>
          <w:rFonts w:cstheme="minorHAnsi"/>
        </w:rPr>
        <w:t xml:space="preserve"> van de Raad van Toezicht</w:t>
      </w:r>
      <w:r w:rsidR="006C2206">
        <w:rPr>
          <w:rFonts w:cstheme="minorHAnsi"/>
        </w:rPr>
        <w:t xml:space="preserve"> en </w:t>
      </w:r>
      <w:r w:rsidR="002B5D94">
        <w:rPr>
          <w:rFonts w:cstheme="minorHAnsi"/>
        </w:rPr>
        <w:t>de onkostenregeling van de bestuurder.</w:t>
      </w:r>
    </w:p>
    <w:p w14:paraId="79E11DF3" w14:textId="6E877B6A" w:rsidR="005A6B1F" w:rsidRPr="0080537F" w:rsidRDefault="005A6B1F" w:rsidP="00D070B2">
      <w:pPr>
        <w:pStyle w:val="Lijstalinea"/>
        <w:numPr>
          <w:ilvl w:val="0"/>
          <w:numId w:val="3"/>
        </w:numPr>
        <w:spacing w:after="0" w:line="240" w:lineRule="auto"/>
        <w:rPr>
          <w:rFonts w:cstheme="minorHAnsi"/>
        </w:rPr>
      </w:pPr>
      <w:r w:rsidRPr="0080537F">
        <w:rPr>
          <w:rFonts w:cstheme="minorHAnsi"/>
        </w:rPr>
        <w:t xml:space="preserve">Ontwikkelingen rondom samenwerkingsverbanden met speciale aandacht voor Pact Woensel Zuid, </w:t>
      </w:r>
      <w:r w:rsidR="0080537F" w:rsidRPr="0080537F">
        <w:rPr>
          <w:rFonts w:cstheme="minorHAnsi"/>
        </w:rPr>
        <w:t xml:space="preserve">Bibliotopen, </w:t>
      </w:r>
      <w:r w:rsidRPr="0080537F">
        <w:rPr>
          <w:rFonts w:cstheme="minorHAnsi"/>
        </w:rPr>
        <w:t>Brainport voor elkaar</w:t>
      </w:r>
      <w:r w:rsidR="0080537F" w:rsidRPr="0080537F">
        <w:rPr>
          <w:rFonts w:cstheme="minorHAnsi"/>
        </w:rPr>
        <w:t xml:space="preserve"> en </w:t>
      </w:r>
      <w:r w:rsidRPr="0080537F">
        <w:rPr>
          <w:rFonts w:cstheme="minorHAnsi"/>
        </w:rPr>
        <w:t>ASML.</w:t>
      </w:r>
    </w:p>
    <w:p w14:paraId="094364DF" w14:textId="77777777" w:rsidR="0064759D" w:rsidRPr="00F651C7" w:rsidRDefault="0064759D" w:rsidP="00D070B2">
      <w:pPr>
        <w:spacing w:line="240" w:lineRule="auto"/>
        <w:rPr>
          <w:rFonts w:asciiTheme="majorHAnsi" w:eastAsiaTheme="majorEastAsia" w:hAnsiTheme="majorHAnsi" w:cstheme="majorBidi"/>
          <w:b/>
          <w:bCs/>
          <w:i/>
          <w:iCs/>
          <w:color w:val="365F91" w:themeColor="accent1" w:themeShade="BF"/>
          <w:sz w:val="24"/>
          <w:szCs w:val="24"/>
          <w:highlight w:val="yellow"/>
        </w:rPr>
      </w:pPr>
    </w:p>
    <w:p w14:paraId="01745CDF" w14:textId="65A77425" w:rsidR="005A6B1F" w:rsidRDefault="005A6B1F" w:rsidP="00D070B2">
      <w:pPr>
        <w:pStyle w:val="Kop4"/>
        <w:spacing w:before="0" w:line="240" w:lineRule="auto"/>
        <w:rPr>
          <w:b/>
          <w:bCs/>
          <w:sz w:val="24"/>
          <w:szCs w:val="24"/>
        </w:rPr>
      </w:pPr>
      <w:r w:rsidRPr="00FF65B8">
        <w:rPr>
          <w:b/>
          <w:bCs/>
          <w:sz w:val="24"/>
          <w:szCs w:val="24"/>
        </w:rPr>
        <w:t>De Raad van Toezicht en commissies</w:t>
      </w:r>
      <w:r w:rsidR="004A6DC3" w:rsidRPr="00FF65B8">
        <w:rPr>
          <w:b/>
          <w:bCs/>
          <w:sz w:val="24"/>
          <w:szCs w:val="24"/>
        </w:rPr>
        <w:t xml:space="preserve"> in 202</w:t>
      </w:r>
      <w:r w:rsidR="00FF65B8" w:rsidRPr="00FF65B8">
        <w:rPr>
          <w:b/>
          <w:bCs/>
          <w:sz w:val="24"/>
          <w:szCs w:val="24"/>
        </w:rPr>
        <w:t>5</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7"/>
        <w:gridCol w:w="2077"/>
        <w:gridCol w:w="1765"/>
        <w:gridCol w:w="2126"/>
      </w:tblGrid>
      <w:tr w:rsidR="00F0201B" w:rsidRPr="00884928" w14:paraId="2FB64EC3" w14:textId="5C6C7529" w:rsidTr="00A8694B">
        <w:trPr>
          <w:trHeight w:val="300"/>
        </w:trPr>
        <w:tc>
          <w:tcPr>
            <w:tcW w:w="2107" w:type="dxa"/>
          </w:tcPr>
          <w:p w14:paraId="5DE4CE90" w14:textId="77777777" w:rsidR="00F0201B" w:rsidRPr="00884928" w:rsidRDefault="00F0201B" w:rsidP="00D070B2">
            <w:pPr>
              <w:spacing w:line="240" w:lineRule="auto"/>
              <w:rPr>
                <w:rFonts w:eastAsia="Times New Roman" w:cs="Calibri"/>
                <w:b/>
                <w:bCs/>
                <w:color w:val="000000"/>
                <w:sz w:val="20"/>
                <w:lang w:eastAsia="nl-NL"/>
              </w:rPr>
            </w:pPr>
          </w:p>
        </w:tc>
        <w:tc>
          <w:tcPr>
            <w:tcW w:w="2077" w:type="dxa"/>
          </w:tcPr>
          <w:p w14:paraId="2DD56220" w14:textId="2A2FFAEF" w:rsidR="00F0201B" w:rsidRPr="00884928" w:rsidRDefault="00F0201B" w:rsidP="00D070B2">
            <w:pPr>
              <w:spacing w:line="240" w:lineRule="auto"/>
              <w:rPr>
                <w:rFonts w:eastAsia="Times New Roman" w:cs="Calibri"/>
                <w:b/>
                <w:bCs/>
                <w:color w:val="000000"/>
                <w:sz w:val="20"/>
                <w:lang w:eastAsia="nl-NL"/>
              </w:rPr>
            </w:pPr>
            <w:r w:rsidRPr="00884928">
              <w:rPr>
                <w:rFonts w:eastAsia="Times New Roman" w:cs="Calibri"/>
                <w:b/>
                <w:bCs/>
                <w:color w:val="000000"/>
                <w:sz w:val="20"/>
                <w:lang w:eastAsia="nl-NL"/>
              </w:rPr>
              <w:t>Raad van Toezicht</w:t>
            </w:r>
          </w:p>
        </w:tc>
        <w:tc>
          <w:tcPr>
            <w:tcW w:w="1765" w:type="dxa"/>
          </w:tcPr>
          <w:p w14:paraId="6E222A1B" w14:textId="2EECBF4D" w:rsidR="00F0201B" w:rsidRPr="00884928" w:rsidRDefault="00F0201B" w:rsidP="00D070B2">
            <w:pPr>
              <w:spacing w:line="240" w:lineRule="auto"/>
              <w:rPr>
                <w:rFonts w:eastAsia="Times New Roman" w:cs="Calibri"/>
                <w:b/>
                <w:bCs/>
                <w:color w:val="000000"/>
                <w:sz w:val="20"/>
                <w:lang w:eastAsia="nl-NL"/>
              </w:rPr>
            </w:pPr>
            <w:r w:rsidRPr="00884928">
              <w:rPr>
                <w:rFonts w:eastAsia="Times New Roman" w:cs="Calibri"/>
                <w:b/>
                <w:bCs/>
                <w:color w:val="000000"/>
                <w:sz w:val="20"/>
                <w:lang w:eastAsia="nl-NL"/>
              </w:rPr>
              <w:t>Auditcommissie</w:t>
            </w:r>
          </w:p>
        </w:tc>
        <w:tc>
          <w:tcPr>
            <w:tcW w:w="2126" w:type="dxa"/>
          </w:tcPr>
          <w:p w14:paraId="0AE7D723" w14:textId="4FD68997" w:rsidR="00F0201B" w:rsidRPr="00884928" w:rsidRDefault="00884928" w:rsidP="00D070B2">
            <w:pPr>
              <w:spacing w:line="240" w:lineRule="auto"/>
              <w:rPr>
                <w:rFonts w:eastAsia="Times New Roman" w:cs="Calibri"/>
                <w:b/>
                <w:bCs/>
                <w:color w:val="000000"/>
                <w:sz w:val="20"/>
                <w:lang w:eastAsia="nl-NL"/>
              </w:rPr>
            </w:pPr>
            <w:r w:rsidRPr="00884928">
              <w:rPr>
                <w:rFonts w:eastAsia="Times New Roman" w:cs="Calibri"/>
                <w:b/>
                <w:bCs/>
                <w:color w:val="000000"/>
                <w:sz w:val="20"/>
                <w:lang w:eastAsia="nl-NL"/>
              </w:rPr>
              <w:t>Commissie</w:t>
            </w:r>
            <w:r w:rsidR="00F0201B" w:rsidRPr="00884928">
              <w:rPr>
                <w:rFonts w:eastAsia="Times New Roman" w:cs="Calibri"/>
                <w:b/>
                <w:bCs/>
                <w:color w:val="000000"/>
                <w:sz w:val="20"/>
                <w:lang w:eastAsia="nl-NL"/>
              </w:rPr>
              <w:t xml:space="preserve"> Kwaliteit en Veiligheid</w:t>
            </w:r>
          </w:p>
        </w:tc>
      </w:tr>
      <w:tr w:rsidR="00F0201B" w:rsidRPr="00FF65B8" w14:paraId="20AD16C5" w14:textId="0D4F274A" w:rsidTr="00A8694B">
        <w:trPr>
          <w:trHeight w:val="300"/>
        </w:trPr>
        <w:tc>
          <w:tcPr>
            <w:tcW w:w="2107" w:type="dxa"/>
          </w:tcPr>
          <w:p w14:paraId="2CC91C7B"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lastRenderedPageBreak/>
              <w:t>Joep Verbugt</w:t>
            </w:r>
          </w:p>
        </w:tc>
        <w:tc>
          <w:tcPr>
            <w:tcW w:w="2077" w:type="dxa"/>
          </w:tcPr>
          <w:p w14:paraId="3A566D55" w14:textId="39C8BF82" w:rsidR="00F0201B" w:rsidRPr="00FF65B8" w:rsidRDefault="000D3925" w:rsidP="00D070B2">
            <w:pPr>
              <w:spacing w:line="240" w:lineRule="auto"/>
              <w:rPr>
                <w:rFonts w:eastAsia="Times New Roman" w:cs="Calibri"/>
                <w:color w:val="000000"/>
                <w:sz w:val="20"/>
                <w:lang w:eastAsia="nl-NL"/>
              </w:rPr>
            </w:pPr>
            <w:r>
              <w:rPr>
                <w:rFonts w:eastAsia="Times New Roman" w:cs="Calibri"/>
                <w:color w:val="000000"/>
                <w:sz w:val="20"/>
                <w:lang w:eastAsia="nl-NL"/>
              </w:rPr>
              <w:t>V</w:t>
            </w:r>
            <w:r w:rsidR="00F0201B" w:rsidRPr="00FF65B8">
              <w:rPr>
                <w:rFonts w:eastAsia="Times New Roman" w:cs="Calibri"/>
                <w:color w:val="000000"/>
                <w:sz w:val="20"/>
                <w:lang w:eastAsia="nl-NL"/>
              </w:rPr>
              <w:t>oorzitter van de R</w:t>
            </w:r>
            <w:r>
              <w:rPr>
                <w:rFonts w:eastAsia="Times New Roman" w:cs="Calibri"/>
                <w:color w:val="000000"/>
                <w:sz w:val="20"/>
                <w:lang w:eastAsia="nl-NL"/>
              </w:rPr>
              <w:t>vT per 1-1-2025</w:t>
            </w:r>
          </w:p>
        </w:tc>
        <w:tc>
          <w:tcPr>
            <w:tcW w:w="1765" w:type="dxa"/>
          </w:tcPr>
          <w:p w14:paraId="73FE6880" w14:textId="77777777" w:rsidR="00F0201B" w:rsidRPr="00FF65B8" w:rsidRDefault="00F0201B" w:rsidP="00D070B2">
            <w:pPr>
              <w:spacing w:line="240" w:lineRule="auto"/>
              <w:rPr>
                <w:rFonts w:eastAsia="Times New Roman" w:cs="Calibri"/>
                <w:color w:val="000000"/>
                <w:sz w:val="20"/>
                <w:lang w:eastAsia="nl-NL"/>
              </w:rPr>
            </w:pPr>
          </w:p>
        </w:tc>
        <w:tc>
          <w:tcPr>
            <w:tcW w:w="2126" w:type="dxa"/>
          </w:tcPr>
          <w:p w14:paraId="3ED92BA4" w14:textId="77777777" w:rsidR="00F0201B" w:rsidRPr="00FF65B8" w:rsidRDefault="00F0201B" w:rsidP="00D070B2">
            <w:pPr>
              <w:spacing w:line="240" w:lineRule="auto"/>
              <w:rPr>
                <w:rFonts w:eastAsia="Times New Roman" w:cs="Calibri"/>
                <w:color w:val="000000"/>
                <w:sz w:val="20"/>
                <w:lang w:eastAsia="nl-NL"/>
              </w:rPr>
            </w:pPr>
          </w:p>
        </w:tc>
      </w:tr>
      <w:tr w:rsidR="00F0201B" w:rsidRPr="00FF65B8" w14:paraId="465DA37D" w14:textId="5739413C" w:rsidTr="00A8694B">
        <w:trPr>
          <w:trHeight w:val="300"/>
        </w:trPr>
        <w:tc>
          <w:tcPr>
            <w:tcW w:w="2107" w:type="dxa"/>
            <w:hideMark/>
          </w:tcPr>
          <w:p w14:paraId="7F1618C5"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Lilian Linders</w:t>
            </w:r>
          </w:p>
        </w:tc>
        <w:tc>
          <w:tcPr>
            <w:tcW w:w="2077" w:type="dxa"/>
            <w:hideMark/>
          </w:tcPr>
          <w:p w14:paraId="0DC12964"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Vicevoorzitter</w:t>
            </w:r>
          </w:p>
        </w:tc>
        <w:tc>
          <w:tcPr>
            <w:tcW w:w="1765" w:type="dxa"/>
          </w:tcPr>
          <w:p w14:paraId="292C42FD" w14:textId="77777777" w:rsidR="00F0201B" w:rsidRPr="00FF65B8" w:rsidRDefault="00F0201B" w:rsidP="00D070B2">
            <w:pPr>
              <w:spacing w:line="240" w:lineRule="auto"/>
              <w:rPr>
                <w:rFonts w:eastAsia="Times New Roman" w:cs="Calibri"/>
                <w:color w:val="000000"/>
                <w:sz w:val="20"/>
                <w:lang w:eastAsia="nl-NL"/>
              </w:rPr>
            </w:pPr>
          </w:p>
        </w:tc>
        <w:tc>
          <w:tcPr>
            <w:tcW w:w="2126" w:type="dxa"/>
          </w:tcPr>
          <w:p w14:paraId="184B4587" w14:textId="3606C3D9" w:rsidR="00F0201B" w:rsidRPr="00FF65B8" w:rsidRDefault="00884928" w:rsidP="00D070B2">
            <w:pPr>
              <w:spacing w:line="240" w:lineRule="auto"/>
              <w:rPr>
                <w:rFonts w:eastAsia="Times New Roman" w:cs="Calibri"/>
                <w:color w:val="000000"/>
                <w:sz w:val="20"/>
                <w:lang w:eastAsia="nl-NL"/>
              </w:rPr>
            </w:pPr>
            <w:r>
              <w:rPr>
                <w:rFonts w:eastAsia="Times New Roman" w:cs="Calibri"/>
                <w:color w:val="000000"/>
                <w:sz w:val="20"/>
                <w:lang w:eastAsia="nl-NL"/>
              </w:rPr>
              <w:t>Lid</w:t>
            </w:r>
          </w:p>
        </w:tc>
      </w:tr>
      <w:tr w:rsidR="00F0201B" w:rsidRPr="00FF65B8" w14:paraId="26797B5E" w14:textId="45BBB352" w:rsidTr="00A8694B">
        <w:trPr>
          <w:trHeight w:val="300"/>
        </w:trPr>
        <w:tc>
          <w:tcPr>
            <w:tcW w:w="2107" w:type="dxa"/>
            <w:hideMark/>
          </w:tcPr>
          <w:p w14:paraId="1155DB2A"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Arlène Denissen</w:t>
            </w:r>
          </w:p>
        </w:tc>
        <w:tc>
          <w:tcPr>
            <w:tcW w:w="2077" w:type="dxa"/>
            <w:hideMark/>
          </w:tcPr>
          <w:p w14:paraId="25C58B30" w14:textId="6130A8B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Lid</w:t>
            </w:r>
          </w:p>
        </w:tc>
        <w:tc>
          <w:tcPr>
            <w:tcW w:w="1765" w:type="dxa"/>
          </w:tcPr>
          <w:p w14:paraId="640C0F0F" w14:textId="7908903D" w:rsidR="00F0201B" w:rsidRPr="00FF65B8" w:rsidRDefault="00F0201B" w:rsidP="00D070B2">
            <w:pPr>
              <w:spacing w:line="240" w:lineRule="auto"/>
              <w:rPr>
                <w:rFonts w:eastAsia="Times New Roman" w:cs="Calibri"/>
                <w:color w:val="000000"/>
                <w:sz w:val="20"/>
                <w:lang w:eastAsia="nl-NL"/>
              </w:rPr>
            </w:pPr>
            <w:r>
              <w:rPr>
                <w:rFonts w:eastAsia="Times New Roman" w:cs="Calibri"/>
                <w:color w:val="000000"/>
                <w:sz w:val="20"/>
                <w:lang w:eastAsia="nl-NL"/>
              </w:rPr>
              <w:t>Voorzitter</w:t>
            </w:r>
          </w:p>
        </w:tc>
        <w:tc>
          <w:tcPr>
            <w:tcW w:w="2126" w:type="dxa"/>
          </w:tcPr>
          <w:p w14:paraId="1775AFE0" w14:textId="77777777" w:rsidR="00F0201B" w:rsidRPr="00FF65B8" w:rsidRDefault="00F0201B" w:rsidP="00D070B2">
            <w:pPr>
              <w:spacing w:line="240" w:lineRule="auto"/>
              <w:rPr>
                <w:rFonts w:eastAsia="Times New Roman" w:cs="Calibri"/>
                <w:color w:val="000000"/>
                <w:sz w:val="20"/>
                <w:lang w:eastAsia="nl-NL"/>
              </w:rPr>
            </w:pPr>
          </w:p>
        </w:tc>
      </w:tr>
      <w:tr w:rsidR="00F0201B" w:rsidRPr="00FF65B8" w14:paraId="46C70EA3" w14:textId="39BDE010" w:rsidTr="00A8694B">
        <w:trPr>
          <w:trHeight w:val="300"/>
        </w:trPr>
        <w:tc>
          <w:tcPr>
            <w:tcW w:w="2107" w:type="dxa"/>
            <w:hideMark/>
          </w:tcPr>
          <w:p w14:paraId="1D7E9134"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Bas Martens</w:t>
            </w:r>
          </w:p>
        </w:tc>
        <w:tc>
          <w:tcPr>
            <w:tcW w:w="2077" w:type="dxa"/>
            <w:hideMark/>
          </w:tcPr>
          <w:p w14:paraId="1B953961"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Lid</w:t>
            </w:r>
          </w:p>
        </w:tc>
        <w:tc>
          <w:tcPr>
            <w:tcW w:w="1765" w:type="dxa"/>
          </w:tcPr>
          <w:p w14:paraId="24507CEB" w14:textId="5C5C174E" w:rsidR="00F0201B" w:rsidRPr="00FF65B8" w:rsidRDefault="00F0201B" w:rsidP="00D070B2">
            <w:pPr>
              <w:spacing w:line="240" w:lineRule="auto"/>
              <w:rPr>
                <w:rFonts w:eastAsia="Times New Roman" w:cs="Calibri"/>
                <w:color w:val="000000"/>
                <w:sz w:val="20"/>
                <w:lang w:eastAsia="nl-NL"/>
              </w:rPr>
            </w:pPr>
            <w:r>
              <w:rPr>
                <w:rFonts w:eastAsia="Times New Roman" w:cs="Calibri"/>
                <w:color w:val="000000"/>
                <w:sz w:val="20"/>
                <w:lang w:eastAsia="nl-NL"/>
              </w:rPr>
              <w:t>Lid</w:t>
            </w:r>
          </w:p>
        </w:tc>
        <w:tc>
          <w:tcPr>
            <w:tcW w:w="2126" w:type="dxa"/>
          </w:tcPr>
          <w:p w14:paraId="3656A826" w14:textId="77777777" w:rsidR="00F0201B" w:rsidRPr="00FF65B8" w:rsidRDefault="00F0201B" w:rsidP="00D070B2">
            <w:pPr>
              <w:spacing w:line="240" w:lineRule="auto"/>
              <w:rPr>
                <w:rFonts w:eastAsia="Times New Roman" w:cs="Calibri"/>
                <w:color w:val="000000"/>
                <w:sz w:val="20"/>
                <w:lang w:eastAsia="nl-NL"/>
              </w:rPr>
            </w:pPr>
          </w:p>
        </w:tc>
      </w:tr>
      <w:tr w:rsidR="00F0201B" w:rsidRPr="00FF65B8" w14:paraId="6BCCDA71" w14:textId="1EE959FA" w:rsidTr="00A8694B">
        <w:trPr>
          <w:trHeight w:val="300"/>
        </w:trPr>
        <w:tc>
          <w:tcPr>
            <w:tcW w:w="2107" w:type="dxa"/>
            <w:hideMark/>
          </w:tcPr>
          <w:p w14:paraId="5D89593B"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Paul Schuurmans</w:t>
            </w:r>
          </w:p>
        </w:tc>
        <w:tc>
          <w:tcPr>
            <w:tcW w:w="2077" w:type="dxa"/>
            <w:hideMark/>
          </w:tcPr>
          <w:p w14:paraId="79311A5A" w14:textId="77777777" w:rsidR="00F0201B" w:rsidRPr="00FF65B8" w:rsidRDefault="00F0201B" w:rsidP="00D070B2">
            <w:pPr>
              <w:spacing w:line="240" w:lineRule="auto"/>
              <w:rPr>
                <w:rFonts w:eastAsia="Times New Roman" w:cs="Calibri"/>
                <w:color w:val="000000"/>
                <w:sz w:val="20"/>
                <w:lang w:eastAsia="nl-NL"/>
              </w:rPr>
            </w:pPr>
            <w:r w:rsidRPr="00FF65B8">
              <w:rPr>
                <w:rFonts w:eastAsia="Times New Roman" w:cs="Calibri"/>
                <w:color w:val="000000"/>
                <w:sz w:val="20"/>
                <w:lang w:eastAsia="nl-NL"/>
              </w:rPr>
              <w:t>Lid</w:t>
            </w:r>
          </w:p>
        </w:tc>
        <w:tc>
          <w:tcPr>
            <w:tcW w:w="1765" w:type="dxa"/>
          </w:tcPr>
          <w:p w14:paraId="4BD15858" w14:textId="77777777" w:rsidR="00F0201B" w:rsidRPr="00FF65B8" w:rsidRDefault="00F0201B" w:rsidP="00D070B2">
            <w:pPr>
              <w:spacing w:line="240" w:lineRule="auto"/>
              <w:rPr>
                <w:rFonts w:eastAsia="Times New Roman" w:cs="Calibri"/>
                <w:color w:val="000000"/>
                <w:sz w:val="20"/>
                <w:lang w:eastAsia="nl-NL"/>
              </w:rPr>
            </w:pPr>
          </w:p>
        </w:tc>
        <w:tc>
          <w:tcPr>
            <w:tcW w:w="2126" w:type="dxa"/>
          </w:tcPr>
          <w:p w14:paraId="60141536" w14:textId="06683808" w:rsidR="00F0201B" w:rsidRPr="00FF65B8" w:rsidRDefault="00884928" w:rsidP="00D070B2">
            <w:pPr>
              <w:spacing w:line="240" w:lineRule="auto"/>
              <w:rPr>
                <w:rFonts w:eastAsia="Times New Roman" w:cs="Calibri"/>
                <w:color w:val="000000"/>
                <w:sz w:val="20"/>
                <w:lang w:eastAsia="nl-NL"/>
              </w:rPr>
            </w:pPr>
            <w:r>
              <w:rPr>
                <w:rFonts w:eastAsia="Times New Roman" w:cs="Calibri"/>
                <w:color w:val="000000"/>
                <w:sz w:val="20"/>
                <w:lang w:eastAsia="nl-NL"/>
              </w:rPr>
              <w:t>Voorzitter</w:t>
            </w:r>
          </w:p>
        </w:tc>
      </w:tr>
    </w:tbl>
    <w:p w14:paraId="42A46648" w14:textId="77777777" w:rsidR="002F14B7" w:rsidRDefault="002F14B7" w:rsidP="00D070B2">
      <w:pPr>
        <w:spacing w:line="240" w:lineRule="auto"/>
        <w:rPr>
          <w:rFonts w:cstheme="minorHAnsi"/>
        </w:rPr>
      </w:pPr>
    </w:p>
    <w:p w14:paraId="350B1255" w14:textId="0A00ACBD" w:rsidR="002573AE" w:rsidRPr="002573AE" w:rsidRDefault="002573AE" w:rsidP="00D070B2">
      <w:pPr>
        <w:spacing w:line="240" w:lineRule="auto"/>
        <w:rPr>
          <w:rFonts w:cstheme="minorHAnsi"/>
        </w:rPr>
      </w:pPr>
      <w:r>
        <w:rPr>
          <w:rFonts w:cstheme="minorHAnsi"/>
        </w:rPr>
        <w:t xml:space="preserve">De voorzitter en vicevoorzitter </w:t>
      </w:r>
      <w:r w:rsidR="002F14B7">
        <w:rPr>
          <w:rFonts w:cstheme="minorHAnsi"/>
        </w:rPr>
        <w:t xml:space="preserve">maken </w:t>
      </w:r>
      <w:r w:rsidR="00F159D9">
        <w:rPr>
          <w:rFonts w:cstheme="minorHAnsi"/>
        </w:rPr>
        <w:t xml:space="preserve">daarnaast </w:t>
      </w:r>
      <w:r w:rsidR="002F14B7">
        <w:rPr>
          <w:rFonts w:cstheme="minorHAnsi"/>
        </w:rPr>
        <w:t xml:space="preserve">deel uit van </w:t>
      </w:r>
      <w:r w:rsidR="00F159D9">
        <w:rPr>
          <w:rFonts w:cstheme="minorHAnsi"/>
        </w:rPr>
        <w:t xml:space="preserve">de </w:t>
      </w:r>
      <w:r w:rsidR="00F159D9" w:rsidRPr="00363BC5">
        <w:rPr>
          <w:rFonts w:cstheme="minorHAnsi"/>
          <w:b/>
          <w:bCs/>
        </w:rPr>
        <w:t>agendacommissie</w:t>
      </w:r>
      <w:r w:rsidR="00F159D9">
        <w:rPr>
          <w:rFonts w:cstheme="minorHAnsi"/>
        </w:rPr>
        <w:t xml:space="preserve"> en de </w:t>
      </w:r>
      <w:r w:rsidR="00F159D9" w:rsidRPr="00363BC5">
        <w:rPr>
          <w:rFonts w:cstheme="minorHAnsi"/>
          <w:b/>
          <w:bCs/>
        </w:rPr>
        <w:t>remuneratiecommissie</w:t>
      </w:r>
      <w:r w:rsidR="00F159D9">
        <w:rPr>
          <w:rFonts w:cstheme="minorHAnsi"/>
        </w:rPr>
        <w:t xml:space="preserve">. </w:t>
      </w:r>
    </w:p>
    <w:p w14:paraId="7AECC0F5" w14:textId="77777777" w:rsidR="00D7502F" w:rsidRDefault="00D7502F" w:rsidP="00D070B2">
      <w:pPr>
        <w:spacing w:line="240" w:lineRule="auto"/>
        <w:rPr>
          <w:rFonts w:cstheme="minorHAnsi"/>
        </w:rPr>
      </w:pPr>
    </w:p>
    <w:p w14:paraId="34033E27" w14:textId="119AC5BA" w:rsidR="005A6B1F" w:rsidRPr="00F2686E" w:rsidRDefault="00363BC5" w:rsidP="00D070B2">
      <w:pPr>
        <w:spacing w:line="240" w:lineRule="auto"/>
        <w:rPr>
          <w:rFonts w:cstheme="minorHAnsi"/>
        </w:rPr>
      </w:pPr>
      <w:r>
        <w:rPr>
          <w:rFonts w:cstheme="minorHAnsi"/>
        </w:rPr>
        <w:t xml:space="preserve">De concerncontroller neemt deel aan </w:t>
      </w:r>
      <w:r w:rsidRPr="002573AE">
        <w:rPr>
          <w:rFonts w:cstheme="minorHAnsi"/>
        </w:rPr>
        <w:t>de aud</w:t>
      </w:r>
      <w:r>
        <w:rPr>
          <w:rFonts w:cstheme="minorHAnsi"/>
        </w:rPr>
        <w:t>it</w:t>
      </w:r>
      <w:r w:rsidRPr="002573AE">
        <w:rPr>
          <w:rFonts w:cstheme="minorHAnsi"/>
        </w:rPr>
        <w:t>commissie</w:t>
      </w:r>
      <w:r>
        <w:rPr>
          <w:rFonts w:cstheme="minorHAnsi"/>
        </w:rPr>
        <w:t>, de adviseur kwaliteit aan de commissie</w:t>
      </w:r>
      <w:r w:rsidRPr="002573AE">
        <w:rPr>
          <w:rFonts w:cstheme="minorHAnsi"/>
        </w:rPr>
        <w:t xml:space="preserve"> Kwaliteit en Veiligheid</w:t>
      </w:r>
      <w:r>
        <w:rPr>
          <w:rFonts w:cstheme="minorHAnsi"/>
        </w:rPr>
        <w:t>.</w:t>
      </w:r>
      <w:r w:rsidR="00D7502F">
        <w:rPr>
          <w:rFonts w:cstheme="minorHAnsi"/>
        </w:rPr>
        <w:t xml:space="preserve"> </w:t>
      </w:r>
      <w:r w:rsidR="005A6B1F" w:rsidRPr="00F2686E">
        <w:rPr>
          <w:rFonts w:cstheme="minorHAnsi"/>
        </w:rPr>
        <w:t>De commissies hebben overleg met de bestuurder</w:t>
      </w:r>
      <w:r w:rsidR="009C5C65">
        <w:rPr>
          <w:rFonts w:cstheme="minorHAnsi"/>
        </w:rPr>
        <w:t>, ondersteund door de bestuurssecretaris</w:t>
      </w:r>
      <w:r w:rsidR="005A6B1F" w:rsidRPr="00F2686E">
        <w:rPr>
          <w:rFonts w:cstheme="minorHAnsi"/>
        </w:rPr>
        <w:t xml:space="preserve">, bereiden onderwerpen voor en brengen advies uit aan de Raad van Toezicht. </w:t>
      </w:r>
    </w:p>
    <w:p w14:paraId="04532A7A" w14:textId="65188866" w:rsidR="005A6B1F" w:rsidRPr="00B47B84" w:rsidRDefault="005A6B1F" w:rsidP="00D070B2">
      <w:pPr>
        <w:spacing w:line="240" w:lineRule="auto"/>
      </w:pPr>
    </w:p>
    <w:p w14:paraId="2DBAC6C7" w14:textId="7DCE282E" w:rsidR="005A6B1F" w:rsidRPr="00F655DA" w:rsidRDefault="005A6B1F" w:rsidP="00D070B2">
      <w:pPr>
        <w:pStyle w:val="Kop4"/>
        <w:spacing w:before="0" w:line="240" w:lineRule="auto"/>
        <w:rPr>
          <w:b/>
          <w:bCs/>
          <w:sz w:val="24"/>
          <w:szCs w:val="24"/>
        </w:rPr>
      </w:pPr>
      <w:r w:rsidRPr="00F655DA">
        <w:rPr>
          <w:b/>
          <w:bCs/>
          <w:sz w:val="24"/>
          <w:szCs w:val="24"/>
        </w:rPr>
        <w:t>Professionalisering</w:t>
      </w:r>
      <w:r w:rsidR="00F655DA" w:rsidRPr="00F655DA">
        <w:rPr>
          <w:b/>
          <w:bCs/>
          <w:sz w:val="24"/>
          <w:szCs w:val="24"/>
        </w:rPr>
        <w:t xml:space="preserve"> en zelfevaluatie</w:t>
      </w:r>
    </w:p>
    <w:p w14:paraId="71688A05" w14:textId="77777777" w:rsidR="005A6B1F" w:rsidRPr="00CF1BFE" w:rsidRDefault="005A6B1F" w:rsidP="00D070B2">
      <w:pPr>
        <w:spacing w:line="240" w:lineRule="auto"/>
        <w:rPr>
          <w:rFonts w:cstheme="minorHAnsi"/>
        </w:rPr>
      </w:pPr>
      <w:r w:rsidRPr="00CF1BFE">
        <w:rPr>
          <w:rFonts w:cstheme="minorHAnsi"/>
        </w:rPr>
        <w:t>Leden van de Raad van Toezicht hebben deelgenomen aan verschillende bijeenkomsten in het kader van ontwikkeling en scholing, waaronder:</w:t>
      </w:r>
    </w:p>
    <w:p w14:paraId="51D1B1E7" w14:textId="40BA538C" w:rsidR="00CF1BFE" w:rsidRPr="00FA57A8" w:rsidRDefault="00FF0E9C" w:rsidP="00D070B2">
      <w:pPr>
        <w:pStyle w:val="Lijstalinea"/>
        <w:numPr>
          <w:ilvl w:val="0"/>
          <w:numId w:val="5"/>
        </w:numPr>
        <w:spacing w:after="0" w:line="240" w:lineRule="auto"/>
        <w:rPr>
          <w:rFonts w:cstheme="minorHAnsi"/>
          <w:lang w:val="en-US"/>
        </w:rPr>
      </w:pPr>
      <w:r w:rsidRPr="00FA57A8">
        <w:rPr>
          <w:rFonts w:cstheme="minorHAnsi"/>
          <w:lang w:val="en-US"/>
        </w:rPr>
        <w:t xml:space="preserve">Leadership Communication with Impact, </w:t>
      </w:r>
      <w:r w:rsidR="00293794" w:rsidRPr="00FA57A8">
        <w:rPr>
          <w:rFonts w:cstheme="minorHAnsi"/>
          <w:lang w:val="en-US"/>
        </w:rPr>
        <w:t>INSEAD</w:t>
      </w:r>
    </w:p>
    <w:p w14:paraId="5CC523FC" w14:textId="2AA25C4B" w:rsidR="00293794" w:rsidRPr="00FA57A8" w:rsidRDefault="00293794" w:rsidP="00D070B2">
      <w:pPr>
        <w:pStyle w:val="Lijstalinea"/>
        <w:numPr>
          <w:ilvl w:val="0"/>
          <w:numId w:val="5"/>
        </w:numPr>
        <w:spacing w:after="0" w:line="240" w:lineRule="auto"/>
        <w:rPr>
          <w:rFonts w:cstheme="minorHAnsi"/>
          <w:lang w:val="en-US"/>
        </w:rPr>
      </w:pPr>
      <w:r w:rsidRPr="00FA57A8">
        <w:rPr>
          <w:rFonts w:cstheme="minorHAnsi"/>
          <w:lang w:val="en-US"/>
        </w:rPr>
        <w:t> Artificial Intelligence: Implications for Business Strategy, MIT Sloan School of Management</w:t>
      </w:r>
    </w:p>
    <w:p w14:paraId="7DD5205F" w14:textId="22C56BB2" w:rsidR="00293794" w:rsidRPr="00FA57A8" w:rsidRDefault="005E0ECE" w:rsidP="00D070B2">
      <w:pPr>
        <w:pStyle w:val="Lijstalinea"/>
        <w:numPr>
          <w:ilvl w:val="0"/>
          <w:numId w:val="5"/>
        </w:numPr>
        <w:spacing w:after="0" w:line="240" w:lineRule="auto"/>
        <w:rPr>
          <w:rFonts w:cstheme="minorHAnsi"/>
        </w:rPr>
      </w:pPr>
      <w:r w:rsidRPr="005558DA">
        <w:rPr>
          <w:rFonts w:cstheme="minorHAnsi"/>
          <w:lang w:val="en-US"/>
        </w:rPr>
        <w:t> </w:t>
      </w:r>
      <w:r w:rsidRPr="00FA57A8">
        <w:rPr>
          <w:rFonts w:cstheme="minorHAnsi"/>
        </w:rPr>
        <w:t xml:space="preserve">Sociale en psychologische veiligheid, </w:t>
      </w:r>
      <w:proofErr w:type="spellStart"/>
      <w:r w:rsidRPr="00FA57A8">
        <w:rPr>
          <w:rFonts w:cstheme="minorHAnsi"/>
        </w:rPr>
        <w:t>Wissema</w:t>
      </w:r>
      <w:proofErr w:type="spellEnd"/>
      <w:r w:rsidRPr="00FA57A8">
        <w:rPr>
          <w:rFonts w:cstheme="minorHAnsi"/>
        </w:rPr>
        <w:t xml:space="preserve"> Group</w:t>
      </w:r>
    </w:p>
    <w:p w14:paraId="1BB692B1" w14:textId="546E4951" w:rsidR="005E0ECE" w:rsidRPr="00FA57A8" w:rsidRDefault="005E0ECE" w:rsidP="00D070B2">
      <w:pPr>
        <w:pStyle w:val="Lijstalinea"/>
        <w:numPr>
          <w:ilvl w:val="0"/>
          <w:numId w:val="5"/>
        </w:numPr>
        <w:spacing w:after="0" w:line="240" w:lineRule="auto"/>
        <w:rPr>
          <w:rFonts w:cstheme="minorHAnsi"/>
        </w:rPr>
      </w:pPr>
      <w:r w:rsidRPr="00FA57A8">
        <w:rPr>
          <w:rFonts w:cstheme="minorHAnsi"/>
        </w:rPr>
        <w:t>Denktank Digitale Transformatie en AI, SURF</w:t>
      </w:r>
    </w:p>
    <w:p w14:paraId="59995551" w14:textId="2B1A9DA8" w:rsidR="005E0ECE" w:rsidRPr="00FA57A8" w:rsidRDefault="001723F5" w:rsidP="00D070B2">
      <w:pPr>
        <w:pStyle w:val="Lijstalinea"/>
        <w:numPr>
          <w:ilvl w:val="0"/>
          <w:numId w:val="5"/>
        </w:numPr>
        <w:spacing w:after="0" w:line="240" w:lineRule="auto"/>
        <w:rPr>
          <w:rFonts w:cstheme="minorHAnsi"/>
        </w:rPr>
      </w:pPr>
      <w:r w:rsidRPr="00FA57A8">
        <w:rPr>
          <w:rFonts w:cstheme="minorHAnsi"/>
        </w:rPr>
        <w:t>Cybercrisisoefening OZON 2025, SURF</w:t>
      </w:r>
    </w:p>
    <w:p w14:paraId="24623BA5" w14:textId="0AC13EC5" w:rsidR="001723F5" w:rsidRPr="00FA57A8" w:rsidRDefault="001723F5" w:rsidP="00D070B2">
      <w:pPr>
        <w:pStyle w:val="Lijstalinea"/>
        <w:numPr>
          <w:ilvl w:val="0"/>
          <w:numId w:val="5"/>
        </w:numPr>
        <w:spacing w:after="0" w:line="240" w:lineRule="auto"/>
        <w:rPr>
          <w:rFonts w:cstheme="minorHAnsi"/>
        </w:rPr>
      </w:pPr>
      <w:r w:rsidRPr="00FA57A8">
        <w:rPr>
          <w:rFonts w:cstheme="minorHAnsi"/>
        </w:rPr>
        <w:t xml:space="preserve">Managementdrives, </w:t>
      </w:r>
      <w:r w:rsidR="00B06F1D" w:rsidRPr="00FA57A8">
        <w:rPr>
          <w:rFonts w:cstheme="minorHAnsi"/>
        </w:rPr>
        <w:t xml:space="preserve">Bureau De Boer, </w:t>
      </w:r>
      <w:proofErr w:type="spellStart"/>
      <w:r w:rsidR="00B06F1D" w:rsidRPr="00FA57A8">
        <w:rPr>
          <w:rFonts w:cstheme="minorHAnsi"/>
        </w:rPr>
        <w:t>Ritsema</w:t>
      </w:r>
      <w:proofErr w:type="spellEnd"/>
      <w:r w:rsidR="00B06F1D" w:rsidRPr="00FA57A8">
        <w:rPr>
          <w:rFonts w:cstheme="minorHAnsi"/>
        </w:rPr>
        <w:t xml:space="preserve"> Van Eck</w:t>
      </w:r>
    </w:p>
    <w:p w14:paraId="435FB304" w14:textId="27BB539D" w:rsidR="00B06F1D" w:rsidRPr="00FA57A8" w:rsidRDefault="00B06F1D" w:rsidP="00D070B2">
      <w:pPr>
        <w:pStyle w:val="Lijstalinea"/>
        <w:numPr>
          <w:ilvl w:val="0"/>
          <w:numId w:val="5"/>
        </w:numPr>
        <w:spacing w:after="0" w:line="240" w:lineRule="auto"/>
        <w:rPr>
          <w:rFonts w:cstheme="minorHAnsi"/>
        </w:rPr>
      </w:pPr>
      <w:r w:rsidRPr="00FA57A8">
        <w:rPr>
          <w:rFonts w:cstheme="minorHAnsi"/>
        </w:rPr>
        <w:t xml:space="preserve">Strategisch </w:t>
      </w:r>
      <w:r w:rsidR="00FA57A8" w:rsidRPr="00FA57A8">
        <w:rPr>
          <w:rFonts w:cstheme="minorHAnsi"/>
        </w:rPr>
        <w:t>gesprek</w:t>
      </w:r>
      <w:r w:rsidRPr="00FA57A8">
        <w:rPr>
          <w:rFonts w:cstheme="minorHAnsi"/>
        </w:rPr>
        <w:t xml:space="preserve"> over continuïteit en samenwerking in het sociaal domein, Sociaal Werk Nederland</w:t>
      </w:r>
    </w:p>
    <w:p w14:paraId="1340759F" w14:textId="713983A1" w:rsidR="00F655DA" w:rsidRPr="00F655DA" w:rsidRDefault="00F655DA" w:rsidP="00D070B2">
      <w:pPr>
        <w:spacing w:line="240" w:lineRule="auto"/>
        <w:rPr>
          <w:rFonts w:cstheme="minorHAnsi"/>
          <w:highlight w:val="yellow"/>
        </w:rPr>
      </w:pPr>
      <w:r w:rsidRPr="00B47B84">
        <w:t>In 2025 heeft geen zelfevaluatie plaatsgevonden. Deze is gepland voor februari 2026</w:t>
      </w:r>
      <w:r w:rsidR="00FA57A8">
        <w:t>.</w:t>
      </w:r>
    </w:p>
    <w:p w14:paraId="3BC2256E" w14:textId="77777777" w:rsidR="005A6B1F" w:rsidRPr="00F651C7" w:rsidRDefault="005A6B1F" w:rsidP="00D070B2">
      <w:pPr>
        <w:spacing w:line="240" w:lineRule="auto"/>
        <w:rPr>
          <w:rFonts w:cstheme="minorHAnsi"/>
          <w:highlight w:val="yellow"/>
        </w:rPr>
      </w:pPr>
    </w:p>
    <w:p w14:paraId="2222B9FD" w14:textId="77777777" w:rsidR="005A6B1F" w:rsidRPr="00955EE0" w:rsidRDefault="005A6B1F" w:rsidP="00D070B2">
      <w:pPr>
        <w:pStyle w:val="Kop4"/>
        <w:spacing w:before="0" w:line="240" w:lineRule="auto"/>
        <w:rPr>
          <w:b/>
          <w:bCs/>
          <w:sz w:val="24"/>
          <w:szCs w:val="24"/>
        </w:rPr>
      </w:pPr>
      <w:r w:rsidRPr="00955EE0">
        <w:rPr>
          <w:b/>
          <w:bCs/>
          <w:sz w:val="24"/>
          <w:szCs w:val="24"/>
        </w:rPr>
        <w:t>Zichtbaar en aanspreekbaar</w:t>
      </w:r>
    </w:p>
    <w:p w14:paraId="2945EE43" w14:textId="77615440" w:rsidR="005A6B1F" w:rsidRPr="00955EE0" w:rsidRDefault="005A6B1F" w:rsidP="00D070B2">
      <w:pPr>
        <w:spacing w:line="240" w:lineRule="auto"/>
        <w:rPr>
          <w:rFonts w:cstheme="minorHAnsi"/>
        </w:rPr>
      </w:pPr>
      <w:r w:rsidRPr="00955EE0">
        <w:rPr>
          <w:rFonts w:cstheme="minorHAnsi"/>
        </w:rPr>
        <w:t>De Raad van Toezicht is zichtbaar op- en bereikbaar via de website van Lumens. De Raad van Toezicht publiceert na afloop van een overleg een korte samenvatting op het intranet van Lumens.</w:t>
      </w:r>
    </w:p>
    <w:p w14:paraId="1A08EA36" w14:textId="77777777" w:rsidR="00151D22" w:rsidRDefault="00151D22" w:rsidP="00D070B2">
      <w:pPr>
        <w:spacing w:line="240" w:lineRule="auto"/>
        <w:rPr>
          <w:rFonts w:cstheme="minorHAnsi"/>
        </w:rPr>
      </w:pPr>
    </w:p>
    <w:p w14:paraId="6BBDF776" w14:textId="3A5CED50" w:rsidR="005A6B1F" w:rsidRPr="008600FE" w:rsidRDefault="005A6B1F" w:rsidP="00D070B2">
      <w:pPr>
        <w:spacing w:line="240" w:lineRule="auto"/>
        <w:rPr>
          <w:rFonts w:cstheme="minorHAnsi"/>
        </w:rPr>
      </w:pPr>
      <w:r w:rsidRPr="008600FE">
        <w:rPr>
          <w:rFonts w:cstheme="minorHAnsi"/>
        </w:rPr>
        <w:t>Namens de Raad van Toezicht,</w:t>
      </w:r>
    </w:p>
    <w:p w14:paraId="71CB6B7E" w14:textId="77777777" w:rsidR="005A6B1F" w:rsidRPr="008600FE" w:rsidRDefault="005A6B1F" w:rsidP="00D070B2">
      <w:pPr>
        <w:spacing w:line="240" w:lineRule="auto"/>
        <w:rPr>
          <w:rFonts w:cstheme="minorHAnsi"/>
        </w:rPr>
      </w:pPr>
    </w:p>
    <w:p w14:paraId="23E7A3E8" w14:textId="77777777" w:rsidR="005A6B1F" w:rsidRPr="008600FE" w:rsidRDefault="005A6B1F" w:rsidP="00D070B2">
      <w:pPr>
        <w:spacing w:line="240" w:lineRule="auto"/>
        <w:rPr>
          <w:rFonts w:cstheme="minorHAnsi"/>
          <w:color w:val="FF0000"/>
        </w:rPr>
      </w:pPr>
      <w:r w:rsidRPr="008600FE">
        <w:rPr>
          <w:rFonts w:cstheme="minorHAnsi"/>
        </w:rPr>
        <w:t xml:space="preserve">Joep Verbugt, voorzitter </w:t>
      </w:r>
    </w:p>
    <w:p w14:paraId="3ED6586D" w14:textId="0A599D0F" w:rsidR="00AA26B1" w:rsidRPr="00E57F90" w:rsidRDefault="005A6B1F" w:rsidP="00D070B2">
      <w:pPr>
        <w:spacing w:line="240" w:lineRule="auto"/>
        <w:rPr>
          <w:sz w:val="24"/>
          <w:szCs w:val="24"/>
        </w:rPr>
      </w:pPr>
      <w:r w:rsidRPr="008600FE">
        <w:rPr>
          <w:rFonts w:cstheme="minorHAnsi"/>
        </w:rPr>
        <w:t>Lilian Linders, vicevoorzitter</w:t>
      </w:r>
    </w:p>
    <w:p w14:paraId="400B27E3" w14:textId="77777777" w:rsidR="00AA26B1" w:rsidRPr="00685FAE" w:rsidRDefault="00AA26B1" w:rsidP="00D070B2">
      <w:pPr>
        <w:spacing w:line="240" w:lineRule="auto"/>
        <w:rPr>
          <w:szCs w:val="22"/>
        </w:rPr>
      </w:pPr>
    </w:p>
    <w:sectPr w:rsidR="00AA26B1" w:rsidRPr="00685FAE" w:rsidSect="00A14C08">
      <w:headerReference w:type="default" r:id="rId10"/>
      <w:footerReference w:type="default" r:id="rId11"/>
      <w:headerReference w:type="first" r:id="rId12"/>
      <w:footerReference w:type="first" r:id="rId13"/>
      <w:pgSz w:w="11906" w:h="16838" w:code="9"/>
      <w:pgMar w:top="1560" w:right="1418" w:bottom="1276" w:left="1418" w:header="22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2BC3" w14:textId="77777777" w:rsidR="00AC2BF0" w:rsidRDefault="00AC2BF0" w:rsidP="003C683C">
      <w:r>
        <w:separator/>
      </w:r>
    </w:p>
  </w:endnote>
  <w:endnote w:type="continuationSeparator" w:id="0">
    <w:p w14:paraId="4631108D" w14:textId="77777777" w:rsidR="00AC2BF0" w:rsidRDefault="00AC2BF0" w:rsidP="003C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2C65" w14:textId="4EB34AFE" w:rsidR="00DE763E" w:rsidRPr="005A6B1F" w:rsidRDefault="005A6B1F">
    <w:pPr>
      <w:pStyle w:val="Voettekst"/>
      <w:rPr>
        <w:sz w:val="18"/>
        <w:szCs w:val="18"/>
      </w:rPr>
    </w:pPr>
    <w:r>
      <w:rPr>
        <w:sz w:val="18"/>
        <w:szCs w:val="18"/>
      </w:rPr>
      <w:t>Jaarverslag RvT Lumens 2024</w:t>
    </w:r>
    <w:r w:rsidRPr="005A6B1F">
      <w:rPr>
        <w:sz w:val="18"/>
        <w:szCs w:val="18"/>
      </w:rPr>
      <w:ptab w:relativeTo="margin" w:alignment="center" w:leader="none"/>
    </w:r>
    <w:r w:rsidRPr="005A6B1F">
      <w:rPr>
        <w:sz w:val="18"/>
        <w:szCs w:val="18"/>
      </w:rPr>
      <w:ptab w:relativeTo="margin" w:alignment="right" w:leader="none"/>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AF4A" w14:textId="77777777" w:rsidR="00AA26B1" w:rsidRDefault="00B649F8" w:rsidP="00FB599A">
    <w:pPr>
      <w:pStyle w:val="Voettekst"/>
      <w:ind w:left="-1701"/>
    </w:pPr>
    <w:r>
      <w:rPr>
        <w:noProof/>
        <w:lang w:eastAsia="nl-NL"/>
      </w:rPr>
      <w:drawing>
        <wp:anchor distT="0" distB="0" distL="114300" distR="114300" simplePos="0" relativeHeight="251658241" behindDoc="1" locked="1" layoutInCell="1" allowOverlap="1" wp14:anchorId="16558257" wp14:editId="697613DA">
          <wp:simplePos x="0" y="0"/>
          <wp:positionH relativeFrom="column">
            <wp:posOffset>-908050</wp:posOffset>
          </wp:positionH>
          <wp:positionV relativeFrom="page">
            <wp:posOffset>8317230</wp:posOffset>
          </wp:positionV>
          <wp:extent cx="7543800" cy="2381250"/>
          <wp:effectExtent l="0" t="0" r="0" b="0"/>
          <wp:wrapNone/>
          <wp:docPr id="79386678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381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D329" w14:textId="77777777" w:rsidR="00AC2BF0" w:rsidRDefault="00AC2BF0" w:rsidP="003C683C">
      <w:r>
        <w:separator/>
      </w:r>
    </w:p>
  </w:footnote>
  <w:footnote w:type="continuationSeparator" w:id="0">
    <w:p w14:paraId="4F3CF856" w14:textId="77777777" w:rsidR="00AC2BF0" w:rsidRDefault="00AC2BF0" w:rsidP="003C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2F69" w14:textId="1F493326" w:rsidR="00AA26B1" w:rsidRDefault="00DE763E">
    <w:pPr>
      <w:pStyle w:val="Koptekst"/>
    </w:pPr>
    <w:r>
      <w:rPr>
        <w:noProof/>
        <w:lang w:eastAsia="nl-NL"/>
      </w:rPr>
      <w:drawing>
        <wp:anchor distT="0" distB="0" distL="114300" distR="114300" simplePos="0" relativeHeight="251658242" behindDoc="1" locked="1" layoutInCell="1" allowOverlap="1" wp14:anchorId="46B71777" wp14:editId="3719B542">
          <wp:simplePos x="0" y="0"/>
          <wp:positionH relativeFrom="page">
            <wp:align>left</wp:align>
          </wp:positionH>
          <wp:positionV relativeFrom="page">
            <wp:align>top</wp:align>
          </wp:positionV>
          <wp:extent cx="7526655" cy="10633710"/>
          <wp:effectExtent l="0" t="0" r="0" b="0"/>
          <wp:wrapNone/>
          <wp:docPr id="124605207" name="Afbeelding 12460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6655" cy="10633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3858" w14:textId="77777777" w:rsidR="00AA26B1" w:rsidRDefault="00B649F8" w:rsidP="002A1F64">
    <w:pPr>
      <w:pStyle w:val="Koptekst"/>
      <w:tabs>
        <w:tab w:val="clear" w:pos="9072"/>
        <w:tab w:val="right" w:pos="8931"/>
      </w:tabs>
      <w:ind w:left="-1701" w:right="-1276"/>
    </w:pPr>
    <w:r>
      <w:rPr>
        <w:noProof/>
        <w:lang w:eastAsia="nl-NL"/>
      </w:rPr>
      <w:drawing>
        <wp:anchor distT="0" distB="0" distL="114300" distR="114300" simplePos="0" relativeHeight="251658240" behindDoc="1" locked="0" layoutInCell="1" allowOverlap="1" wp14:anchorId="60D3A4B7" wp14:editId="3262E0C4">
          <wp:simplePos x="0" y="0"/>
          <wp:positionH relativeFrom="column">
            <wp:posOffset>-1073150</wp:posOffset>
          </wp:positionH>
          <wp:positionV relativeFrom="paragraph">
            <wp:posOffset>0</wp:posOffset>
          </wp:positionV>
          <wp:extent cx="7543800" cy="1095375"/>
          <wp:effectExtent l="0" t="0" r="0" b="0"/>
          <wp:wrapNone/>
          <wp:docPr id="1022468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95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18C"/>
    <w:multiLevelType w:val="hybridMultilevel"/>
    <w:tmpl w:val="5B844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63AED"/>
    <w:multiLevelType w:val="hybridMultilevel"/>
    <w:tmpl w:val="70748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5C5209"/>
    <w:multiLevelType w:val="hybridMultilevel"/>
    <w:tmpl w:val="B19E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0136B4"/>
    <w:multiLevelType w:val="hybridMultilevel"/>
    <w:tmpl w:val="B8C88122"/>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8FF4F7F"/>
    <w:multiLevelType w:val="hybridMultilevel"/>
    <w:tmpl w:val="1F08E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937966"/>
    <w:multiLevelType w:val="hybridMultilevel"/>
    <w:tmpl w:val="42D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112018"/>
    <w:multiLevelType w:val="hybridMultilevel"/>
    <w:tmpl w:val="DDF6D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D94B6D"/>
    <w:multiLevelType w:val="hybridMultilevel"/>
    <w:tmpl w:val="EFD09896"/>
    <w:lvl w:ilvl="0" w:tplc="C7CC7E10">
      <w:start w:val="1"/>
      <w:numFmt w:val="decimal"/>
      <w:lvlText w:val="%1."/>
      <w:lvlJc w:val="left"/>
      <w:pPr>
        <w:tabs>
          <w:tab w:val="num" w:pos="720"/>
        </w:tabs>
        <w:ind w:left="720" w:hanging="720"/>
      </w:pPr>
      <w:rPr>
        <w:rFonts w:cs="Times New Roman"/>
      </w:rPr>
    </w:lvl>
    <w:lvl w:ilvl="1" w:tplc="C278071A">
      <w:start w:val="1"/>
      <w:numFmt w:val="bullet"/>
      <w:lvlText w:val=""/>
      <w:lvlJc w:val="left"/>
      <w:pPr>
        <w:tabs>
          <w:tab w:val="num" w:pos="1077"/>
        </w:tabs>
        <w:ind w:left="1077" w:hanging="357"/>
      </w:pPr>
      <w:rPr>
        <w:rFonts w:ascii="Symbol" w:hAnsi="Symbol" w:hint="default"/>
        <w:sz w:val="1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71030186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78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04826">
    <w:abstractNumId w:val="6"/>
  </w:num>
  <w:num w:numId="4" w16cid:durableId="1540052666">
    <w:abstractNumId w:val="5"/>
  </w:num>
  <w:num w:numId="5" w16cid:durableId="749355296">
    <w:abstractNumId w:val="0"/>
  </w:num>
  <w:num w:numId="6" w16cid:durableId="1783499010">
    <w:abstractNumId w:val="2"/>
  </w:num>
  <w:num w:numId="7" w16cid:durableId="57099747">
    <w:abstractNumId w:val="4"/>
  </w:num>
  <w:num w:numId="8" w16cid:durableId="41906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26"/>
    <w:rsid w:val="00005815"/>
    <w:rsid w:val="000100EE"/>
    <w:rsid w:val="00011BDC"/>
    <w:rsid w:val="000138F2"/>
    <w:rsid w:val="000165E7"/>
    <w:rsid w:val="00036A88"/>
    <w:rsid w:val="00057EBC"/>
    <w:rsid w:val="00090B22"/>
    <w:rsid w:val="000B35D7"/>
    <w:rsid w:val="000B65F9"/>
    <w:rsid w:val="000D3925"/>
    <w:rsid w:val="000D67D2"/>
    <w:rsid w:val="000E5088"/>
    <w:rsid w:val="000E5DE0"/>
    <w:rsid w:val="00102486"/>
    <w:rsid w:val="001138AC"/>
    <w:rsid w:val="001459B1"/>
    <w:rsid w:val="00151D22"/>
    <w:rsid w:val="0015331E"/>
    <w:rsid w:val="00156918"/>
    <w:rsid w:val="001605BD"/>
    <w:rsid w:val="001669B7"/>
    <w:rsid w:val="001721F6"/>
    <w:rsid w:val="001723F5"/>
    <w:rsid w:val="001762E5"/>
    <w:rsid w:val="00176431"/>
    <w:rsid w:val="00183A4F"/>
    <w:rsid w:val="00186DBC"/>
    <w:rsid w:val="001A6D90"/>
    <w:rsid w:val="001B4A3E"/>
    <w:rsid w:val="001B78C4"/>
    <w:rsid w:val="001C1AF6"/>
    <w:rsid w:val="001C2101"/>
    <w:rsid w:val="001C27D9"/>
    <w:rsid w:val="001C58C2"/>
    <w:rsid w:val="001D6C2D"/>
    <w:rsid w:val="001E0E73"/>
    <w:rsid w:val="001E135F"/>
    <w:rsid w:val="001F2AFE"/>
    <w:rsid w:val="00200CEE"/>
    <w:rsid w:val="002021FD"/>
    <w:rsid w:val="00202945"/>
    <w:rsid w:val="002101BC"/>
    <w:rsid w:val="00215405"/>
    <w:rsid w:val="00222119"/>
    <w:rsid w:val="00232AB6"/>
    <w:rsid w:val="00232E34"/>
    <w:rsid w:val="002405C5"/>
    <w:rsid w:val="002524F7"/>
    <w:rsid w:val="002573AE"/>
    <w:rsid w:val="00266C9B"/>
    <w:rsid w:val="002750A5"/>
    <w:rsid w:val="0027527F"/>
    <w:rsid w:val="00277B6A"/>
    <w:rsid w:val="00283F1C"/>
    <w:rsid w:val="00291ECC"/>
    <w:rsid w:val="00293794"/>
    <w:rsid w:val="002A1F64"/>
    <w:rsid w:val="002A599A"/>
    <w:rsid w:val="002B5D94"/>
    <w:rsid w:val="002B7680"/>
    <w:rsid w:val="002C5400"/>
    <w:rsid w:val="002C66D6"/>
    <w:rsid w:val="002D0583"/>
    <w:rsid w:val="002E4275"/>
    <w:rsid w:val="002E5C2F"/>
    <w:rsid w:val="002F14B7"/>
    <w:rsid w:val="00304626"/>
    <w:rsid w:val="00304E38"/>
    <w:rsid w:val="00316DF3"/>
    <w:rsid w:val="003240D2"/>
    <w:rsid w:val="00325DD1"/>
    <w:rsid w:val="003277C6"/>
    <w:rsid w:val="0034087C"/>
    <w:rsid w:val="00341412"/>
    <w:rsid w:val="00355D38"/>
    <w:rsid w:val="00360083"/>
    <w:rsid w:val="0036083A"/>
    <w:rsid w:val="00362FFD"/>
    <w:rsid w:val="00363BC5"/>
    <w:rsid w:val="0036468B"/>
    <w:rsid w:val="00365382"/>
    <w:rsid w:val="00366D15"/>
    <w:rsid w:val="00366EF0"/>
    <w:rsid w:val="00372002"/>
    <w:rsid w:val="00380BD5"/>
    <w:rsid w:val="00380D8B"/>
    <w:rsid w:val="00395F82"/>
    <w:rsid w:val="003B3C78"/>
    <w:rsid w:val="003C0604"/>
    <w:rsid w:val="003C64D9"/>
    <w:rsid w:val="003C683C"/>
    <w:rsid w:val="003D05AD"/>
    <w:rsid w:val="003E59AE"/>
    <w:rsid w:val="004042B8"/>
    <w:rsid w:val="00406749"/>
    <w:rsid w:val="0041025C"/>
    <w:rsid w:val="00432C2E"/>
    <w:rsid w:val="0043452C"/>
    <w:rsid w:val="004400DB"/>
    <w:rsid w:val="00454C15"/>
    <w:rsid w:val="00466210"/>
    <w:rsid w:val="00485452"/>
    <w:rsid w:val="0048673C"/>
    <w:rsid w:val="00496E0D"/>
    <w:rsid w:val="004A6DC3"/>
    <w:rsid w:val="004B0530"/>
    <w:rsid w:val="004B5388"/>
    <w:rsid w:val="004C54C5"/>
    <w:rsid w:val="004C7DA1"/>
    <w:rsid w:val="004D1B69"/>
    <w:rsid w:val="004D5E73"/>
    <w:rsid w:val="004D78B2"/>
    <w:rsid w:val="004E0BCC"/>
    <w:rsid w:val="004F59E0"/>
    <w:rsid w:val="004F7062"/>
    <w:rsid w:val="0051044B"/>
    <w:rsid w:val="0051247C"/>
    <w:rsid w:val="00512E59"/>
    <w:rsid w:val="00517256"/>
    <w:rsid w:val="00546E0C"/>
    <w:rsid w:val="005558DA"/>
    <w:rsid w:val="005714BC"/>
    <w:rsid w:val="00572E5D"/>
    <w:rsid w:val="0058383D"/>
    <w:rsid w:val="00587B82"/>
    <w:rsid w:val="0059088C"/>
    <w:rsid w:val="005919FB"/>
    <w:rsid w:val="00593096"/>
    <w:rsid w:val="005A3FCC"/>
    <w:rsid w:val="005A4947"/>
    <w:rsid w:val="005A6B1F"/>
    <w:rsid w:val="005B197A"/>
    <w:rsid w:val="005B2101"/>
    <w:rsid w:val="005B32F4"/>
    <w:rsid w:val="005B3535"/>
    <w:rsid w:val="005D0C3B"/>
    <w:rsid w:val="005D3A83"/>
    <w:rsid w:val="005E0ECE"/>
    <w:rsid w:val="005E100C"/>
    <w:rsid w:val="005E7959"/>
    <w:rsid w:val="005F60DB"/>
    <w:rsid w:val="00617A8B"/>
    <w:rsid w:val="006260FF"/>
    <w:rsid w:val="00635699"/>
    <w:rsid w:val="00646378"/>
    <w:rsid w:val="0064759D"/>
    <w:rsid w:val="00647992"/>
    <w:rsid w:val="0065275A"/>
    <w:rsid w:val="006651F0"/>
    <w:rsid w:val="00685FAE"/>
    <w:rsid w:val="00693097"/>
    <w:rsid w:val="006A0FF1"/>
    <w:rsid w:val="006A103A"/>
    <w:rsid w:val="006A3E1C"/>
    <w:rsid w:val="006B3CF1"/>
    <w:rsid w:val="006B4337"/>
    <w:rsid w:val="006C2206"/>
    <w:rsid w:val="006C4A60"/>
    <w:rsid w:val="006D5CEC"/>
    <w:rsid w:val="006E712E"/>
    <w:rsid w:val="006E72C1"/>
    <w:rsid w:val="00716581"/>
    <w:rsid w:val="00716C78"/>
    <w:rsid w:val="00726322"/>
    <w:rsid w:val="00730849"/>
    <w:rsid w:val="007337DA"/>
    <w:rsid w:val="00741FBB"/>
    <w:rsid w:val="007423E3"/>
    <w:rsid w:val="00743742"/>
    <w:rsid w:val="00752AE8"/>
    <w:rsid w:val="007654AE"/>
    <w:rsid w:val="0076793C"/>
    <w:rsid w:val="00770B43"/>
    <w:rsid w:val="0077330D"/>
    <w:rsid w:val="00774666"/>
    <w:rsid w:val="00781582"/>
    <w:rsid w:val="007916FE"/>
    <w:rsid w:val="00794B89"/>
    <w:rsid w:val="007A0792"/>
    <w:rsid w:val="007A19E7"/>
    <w:rsid w:val="007A4667"/>
    <w:rsid w:val="007B68E8"/>
    <w:rsid w:val="007C706D"/>
    <w:rsid w:val="007D28CD"/>
    <w:rsid w:val="007D4235"/>
    <w:rsid w:val="007E2F8B"/>
    <w:rsid w:val="007E7C6C"/>
    <w:rsid w:val="007F1594"/>
    <w:rsid w:val="0080537F"/>
    <w:rsid w:val="008170FB"/>
    <w:rsid w:val="008318DC"/>
    <w:rsid w:val="008364AC"/>
    <w:rsid w:val="00845899"/>
    <w:rsid w:val="008532EE"/>
    <w:rsid w:val="00857878"/>
    <w:rsid w:val="008600FE"/>
    <w:rsid w:val="008704F4"/>
    <w:rsid w:val="00870ED0"/>
    <w:rsid w:val="00881C94"/>
    <w:rsid w:val="00884928"/>
    <w:rsid w:val="0088767A"/>
    <w:rsid w:val="008A31B2"/>
    <w:rsid w:val="008B29B0"/>
    <w:rsid w:val="008B72EB"/>
    <w:rsid w:val="008B75D9"/>
    <w:rsid w:val="008E062F"/>
    <w:rsid w:val="008E5AC5"/>
    <w:rsid w:val="009008B9"/>
    <w:rsid w:val="00903264"/>
    <w:rsid w:val="009200CD"/>
    <w:rsid w:val="0093399E"/>
    <w:rsid w:val="00946556"/>
    <w:rsid w:val="00955EE0"/>
    <w:rsid w:val="009566FE"/>
    <w:rsid w:val="009612CA"/>
    <w:rsid w:val="00962DCB"/>
    <w:rsid w:val="00970F48"/>
    <w:rsid w:val="0097349A"/>
    <w:rsid w:val="00987125"/>
    <w:rsid w:val="00997FCA"/>
    <w:rsid w:val="009A4610"/>
    <w:rsid w:val="009B3C0A"/>
    <w:rsid w:val="009C0BE0"/>
    <w:rsid w:val="009C5C65"/>
    <w:rsid w:val="009D7043"/>
    <w:rsid w:val="009E1C37"/>
    <w:rsid w:val="009E5E2F"/>
    <w:rsid w:val="009E67C2"/>
    <w:rsid w:val="009F3114"/>
    <w:rsid w:val="009F32AF"/>
    <w:rsid w:val="009F6D24"/>
    <w:rsid w:val="00A14C08"/>
    <w:rsid w:val="00A24460"/>
    <w:rsid w:val="00A31F50"/>
    <w:rsid w:val="00A424E7"/>
    <w:rsid w:val="00A53865"/>
    <w:rsid w:val="00A61BD5"/>
    <w:rsid w:val="00A67D54"/>
    <w:rsid w:val="00A75581"/>
    <w:rsid w:val="00A86347"/>
    <w:rsid w:val="00A8694B"/>
    <w:rsid w:val="00A90FEF"/>
    <w:rsid w:val="00A9150F"/>
    <w:rsid w:val="00A93FC7"/>
    <w:rsid w:val="00AA26B1"/>
    <w:rsid w:val="00AA2DAB"/>
    <w:rsid w:val="00AB16EB"/>
    <w:rsid w:val="00AB2348"/>
    <w:rsid w:val="00AB442C"/>
    <w:rsid w:val="00AB7F97"/>
    <w:rsid w:val="00AC2BF0"/>
    <w:rsid w:val="00AD25F8"/>
    <w:rsid w:val="00AF4894"/>
    <w:rsid w:val="00AF5A84"/>
    <w:rsid w:val="00B06F1D"/>
    <w:rsid w:val="00B07043"/>
    <w:rsid w:val="00B12832"/>
    <w:rsid w:val="00B24C74"/>
    <w:rsid w:val="00B36EFD"/>
    <w:rsid w:val="00B408E2"/>
    <w:rsid w:val="00B43967"/>
    <w:rsid w:val="00B47B84"/>
    <w:rsid w:val="00B6109F"/>
    <w:rsid w:val="00B649F8"/>
    <w:rsid w:val="00B65905"/>
    <w:rsid w:val="00B73FF8"/>
    <w:rsid w:val="00B81C47"/>
    <w:rsid w:val="00B96D1E"/>
    <w:rsid w:val="00B97CBA"/>
    <w:rsid w:val="00BB04B3"/>
    <w:rsid w:val="00BB2FFC"/>
    <w:rsid w:val="00BC144B"/>
    <w:rsid w:val="00BC790C"/>
    <w:rsid w:val="00BD03CE"/>
    <w:rsid w:val="00BD60D0"/>
    <w:rsid w:val="00BE0BC5"/>
    <w:rsid w:val="00BF3F48"/>
    <w:rsid w:val="00BF6B83"/>
    <w:rsid w:val="00BF77DA"/>
    <w:rsid w:val="00C04B42"/>
    <w:rsid w:val="00C25A1A"/>
    <w:rsid w:val="00C2707D"/>
    <w:rsid w:val="00C32CC8"/>
    <w:rsid w:val="00C51459"/>
    <w:rsid w:val="00C53A73"/>
    <w:rsid w:val="00C545C3"/>
    <w:rsid w:val="00C619C4"/>
    <w:rsid w:val="00C81BB3"/>
    <w:rsid w:val="00C877AA"/>
    <w:rsid w:val="00C90C54"/>
    <w:rsid w:val="00C91ACF"/>
    <w:rsid w:val="00C92473"/>
    <w:rsid w:val="00CA6D74"/>
    <w:rsid w:val="00CB6CC6"/>
    <w:rsid w:val="00CD7661"/>
    <w:rsid w:val="00CD7676"/>
    <w:rsid w:val="00CE1775"/>
    <w:rsid w:val="00CE2783"/>
    <w:rsid w:val="00CF1BFE"/>
    <w:rsid w:val="00CF219C"/>
    <w:rsid w:val="00D01915"/>
    <w:rsid w:val="00D070B2"/>
    <w:rsid w:val="00D1117D"/>
    <w:rsid w:val="00D23EC8"/>
    <w:rsid w:val="00D245C4"/>
    <w:rsid w:val="00D31F6B"/>
    <w:rsid w:val="00D468EF"/>
    <w:rsid w:val="00D520C8"/>
    <w:rsid w:val="00D7022A"/>
    <w:rsid w:val="00D7502F"/>
    <w:rsid w:val="00D9167E"/>
    <w:rsid w:val="00DA0C15"/>
    <w:rsid w:val="00DA61AE"/>
    <w:rsid w:val="00DB6CF5"/>
    <w:rsid w:val="00DD32DA"/>
    <w:rsid w:val="00DE0A5B"/>
    <w:rsid w:val="00DE763E"/>
    <w:rsid w:val="00E135B2"/>
    <w:rsid w:val="00E13C38"/>
    <w:rsid w:val="00E163A2"/>
    <w:rsid w:val="00E20CE6"/>
    <w:rsid w:val="00E212B9"/>
    <w:rsid w:val="00E30429"/>
    <w:rsid w:val="00E323FC"/>
    <w:rsid w:val="00E44DFF"/>
    <w:rsid w:val="00E505D7"/>
    <w:rsid w:val="00E541A5"/>
    <w:rsid w:val="00E57F90"/>
    <w:rsid w:val="00E62FDE"/>
    <w:rsid w:val="00E740EA"/>
    <w:rsid w:val="00E77DAA"/>
    <w:rsid w:val="00E94C6B"/>
    <w:rsid w:val="00EA0B69"/>
    <w:rsid w:val="00EA3D6C"/>
    <w:rsid w:val="00EA5E65"/>
    <w:rsid w:val="00EB412F"/>
    <w:rsid w:val="00EC5287"/>
    <w:rsid w:val="00EF1243"/>
    <w:rsid w:val="00EF64A9"/>
    <w:rsid w:val="00F0201B"/>
    <w:rsid w:val="00F159D9"/>
    <w:rsid w:val="00F20CAE"/>
    <w:rsid w:val="00F2686E"/>
    <w:rsid w:val="00F37A20"/>
    <w:rsid w:val="00F51FF7"/>
    <w:rsid w:val="00F5560B"/>
    <w:rsid w:val="00F5564A"/>
    <w:rsid w:val="00F55BEF"/>
    <w:rsid w:val="00F64578"/>
    <w:rsid w:val="00F651C7"/>
    <w:rsid w:val="00F655DA"/>
    <w:rsid w:val="00F75EB1"/>
    <w:rsid w:val="00F91543"/>
    <w:rsid w:val="00F9230D"/>
    <w:rsid w:val="00F93494"/>
    <w:rsid w:val="00F95033"/>
    <w:rsid w:val="00FA3D60"/>
    <w:rsid w:val="00FA57A8"/>
    <w:rsid w:val="00FA64BF"/>
    <w:rsid w:val="00FA6F70"/>
    <w:rsid w:val="00FB150B"/>
    <w:rsid w:val="00FB302C"/>
    <w:rsid w:val="00FB599A"/>
    <w:rsid w:val="00FC0A1A"/>
    <w:rsid w:val="00FC267A"/>
    <w:rsid w:val="00FC5CAD"/>
    <w:rsid w:val="00FD3183"/>
    <w:rsid w:val="00FD4F2E"/>
    <w:rsid w:val="00FD61FB"/>
    <w:rsid w:val="00FF0E9C"/>
    <w:rsid w:val="00FF5F96"/>
    <w:rsid w:val="00FF6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7E360"/>
  <w15:docId w15:val="{CCD78AE3-FF3B-4595-8F8A-95F6A8E2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C74"/>
    <w:pPr>
      <w:spacing w:line="240" w:lineRule="exact"/>
    </w:pPr>
    <w:rPr>
      <w:rFonts w:ascii="Calibri" w:hAnsi="Calibri"/>
      <w:szCs w:val="20"/>
      <w:lang w:eastAsia="en-US"/>
    </w:rPr>
  </w:style>
  <w:style w:type="paragraph" w:styleId="Kop1">
    <w:name w:val="heading 1"/>
    <w:basedOn w:val="Standaard"/>
    <w:next w:val="Standaard"/>
    <w:link w:val="Kop1Char"/>
    <w:qFormat/>
    <w:locked/>
    <w:rsid w:val="00B24C74"/>
    <w:pPr>
      <w:keepNext/>
      <w:keepLines/>
      <w:spacing w:line="320" w:lineRule="exact"/>
      <w:outlineLvl w:val="0"/>
    </w:pPr>
    <w:rPr>
      <w:rFonts w:eastAsiaTheme="majorEastAsia" w:cstheme="majorBidi"/>
      <w:color w:val="00B0F0"/>
      <w:sz w:val="32"/>
      <w:szCs w:val="32"/>
    </w:rPr>
  </w:style>
  <w:style w:type="paragraph" w:styleId="Kop2">
    <w:name w:val="heading 2"/>
    <w:basedOn w:val="Standaard"/>
    <w:next w:val="Standaard"/>
    <w:link w:val="Kop2Char"/>
    <w:unhideWhenUsed/>
    <w:qFormat/>
    <w:locked/>
    <w:rsid w:val="00B24C74"/>
    <w:pPr>
      <w:keepNext/>
      <w:keepLines/>
      <w:outlineLvl w:val="1"/>
    </w:pPr>
    <w:rPr>
      <w:rFonts w:eastAsiaTheme="majorEastAsia" w:cstheme="majorBidi"/>
      <w:color w:val="00B0F0"/>
      <w:szCs w:val="26"/>
    </w:rPr>
  </w:style>
  <w:style w:type="paragraph" w:styleId="Kop3">
    <w:name w:val="heading 3"/>
    <w:basedOn w:val="Standaard"/>
    <w:next w:val="Standaard"/>
    <w:link w:val="Kop3Char"/>
    <w:unhideWhenUsed/>
    <w:qFormat/>
    <w:locked/>
    <w:rsid w:val="00B24C74"/>
    <w:pPr>
      <w:keepNext/>
      <w:keepLines/>
      <w:outlineLvl w:val="2"/>
    </w:pPr>
    <w:rPr>
      <w:rFonts w:eastAsiaTheme="majorEastAsia" w:cstheme="majorBidi"/>
      <w:color w:val="00B0F0"/>
      <w:sz w:val="24"/>
      <w:szCs w:val="24"/>
    </w:rPr>
  </w:style>
  <w:style w:type="paragraph" w:styleId="Kop4">
    <w:name w:val="heading 4"/>
    <w:basedOn w:val="Standaard"/>
    <w:next w:val="Standaard"/>
    <w:link w:val="Kop4Char"/>
    <w:uiPriority w:val="9"/>
    <w:unhideWhenUsed/>
    <w:qFormat/>
    <w:locked/>
    <w:rsid w:val="005A6B1F"/>
    <w:pPr>
      <w:keepNext/>
      <w:keepLines/>
      <w:spacing w:before="40" w:line="259" w:lineRule="auto"/>
      <w:outlineLvl w:val="3"/>
    </w:pPr>
    <w:rPr>
      <w:rFonts w:asciiTheme="majorHAnsi" w:eastAsiaTheme="majorEastAsia" w:hAnsiTheme="majorHAnsi" w:cstheme="majorBidi"/>
      <w:i/>
      <w:iCs/>
      <w:color w:val="365F91" w:themeColor="accent1" w:themeShade="BF"/>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C683C"/>
    <w:pPr>
      <w:tabs>
        <w:tab w:val="center" w:pos="4536"/>
        <w:tab w:val="right" w:pos="9072"/>
      </w:tabs>
    </w:pPr>
  </w:style>
  <w:style w:type="character" w:customStyle="1" w:styleId="KoptekstChar">
    <w:name w:val="Koptekst Char"/>
    <w:basedOn w:val="Standaardalinea-lettertype"/>
    <w:link w:val="Koptekst"/>
    <w:uiPriority w:val="99"/>
    <w:locked/>
    <w:rsid w:val="003C683C"/>
    <w:rPr>
      <w:rFonts w:cs="Times New Roman"/>
    </w:rPr>
  </w:style>
  <w:style w:type="paragraph" w:styleId="Voettekst">
    <w:name w:val="footer"/>
    <w:basedOn w:val="Standaard"/>
    <w:link w:val="VoettekstChar"/>
    <w:uiPriority w:val="99"/>
    <w:rsid w:val="003C683C"/>
    <w:pPr>
      <w:tabs>
        <w:tab w:val="center" w:pos="4536"/>
        <w:tab w:val="right" w:pos="9072"/>
      </w:tabs>
    </w:pPr>
  </w:style>
  <w:style w:type="character" w:customStyle="1" w:styleId="VoettekstChar">
    <w:name w:val="Voettekst Char"/>
    <w:basedOn w:val="Standaardalinea-lettertype"/>
    <w:link w:val="Voettekst"/>
    <w:uiPriority w:val="99"/>
    <w:locked/>
    <w:rsid w:val="003C683C"/>
    <w:rPr>
      <w:rFonts w:cs="Times New Roman"/>
    </w:rPr>
  </w:style>
  <w:style w:type="paragraph" w:styleId="Ballontekst">
    <w:name w:val="Balloon Text"/>
    <w:basedOn w:val="Standaard"/>
    <w:link w:val="BallontekstChar"/>
    <w:uiPriority w:val="99"/>
    <w:semiHidden/>
    <w:rsid w:val="003C683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C683C"/>
    <w:rPr>
      <w:rFonts w:ascii="Tahoma" w:hAnsi="Tahoma" w:cs="Tahoma"/>
      <w:sz w:val="16"/>
      <w:szCs w:val="16"/>
    </w:rPr>
  </w:style>
  <w:style w:type="table" w:styleId="Tabelraster">
    <w:name w:val="Table Grid"/>
    <w:basedOn w:val="Standaardtabel"/>
    <w:uiPriority w:val="39"/>
    <w:locked/>
    <w:rsid w:val="00D23EC8"/>
    <w:pPr>
      <w:spacing w:after="20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C619C4"/>
    <w:rPr>
      <w:rFonts w:cs="Times New Roman"/>
      <w:color w:val="0000FF"/>
      <w:u w:val="single"/>
    </w:rPr>
  </w:style>
  <w:style w:type="character" w:customStyle="1" w:styleId="Kop3Char">
    <w:name w:val="Kop 3 Char"/>
    <w:basedOn w:val="Standaardalinea-lettertype"/>
    <w:link w:val="Kop3"/>
    <w:rsid w:val="00B24C74"/>
    <w:rPr>
      <w:rFonts w:ascii="Calibri" w:eastAsiaTheme="majorEastAsia" w:hAnsi="Calibri" w:cstheme="majorBidi"/>
      <w:color w:val="00B0F0"/>
      <w:sz w:val="24"/>
      <w:szCs w:val="24"/>
      <w:lang w:eastAsia="en-US"/>
    </w:rPr>
  </w:style>
  <w:style w:type="character" w:customStyle="1" w:styleId="Kop2Char">
    <w:name w:val="Kop 2 Char"/>
    <w:basedOn w:val="Standaardalinea-lettertype"/>
    <w:link w:val="Kop2"/>
    <w:rsid w:val="00B24C74"/>
    <w:rPr>
      <w:rFonts w:ascii="Calibri" w:eastAsiaTheme="majorEastAsia" w:hAnsi="Calibri" w:cstheme="majorBidi"/>
      <w:color w:val="00B0F0"/>
      <w:szCs w:val="26"/>
      <w:lang w:eastAsia="en-US"/>
    </w:rPr>
  </w:style>
  <w:style w:type="character" w:customStyle="1" w:styleId="Kop1Char">
    <w:name w:val="Kop 1 Char"/>
    <w:basedOn w:val="Standaardalinea-lettertype"/>
    <w:link w:val="Kop1"/>
    <w:rsid w:val="00B24C74"/>
    <w:rPr>
      <w:rFonts w:ascii="Calibri" w:eastAsiaTheme="majorEastAsia" w:hAnsi="Calibri" w:cstheme="majorBidi"/>
      <w:color w:val="00B0F0"/>
      <w:sz w:val="32"/>
      <w:szCs w:val="32"/>
      <w:lang w:eastAsia="en-US"/>
    </w:rPr>
  </w:style>
  <w:style w:type="character" w:customStyle="1" w:styleId="Kop4Char">
    <w:name w:val="Kop 4 Char"/>
    <w:basedOn w:val="Standaardalinea-lettertype"/>
    <w:link w:val="Kop4"/>
    <w:uiPriority w:val="9"/>
    <w:rsid w:val="005A6B1F"/>
    <w:rPr>
      <w:rFonts w:asciiTheme="majorHAnsi" w:eastAsiaTheme="majorEastAsia" w:hAnsiTheme="majorHAnsi" w:cstheme="majorBidi"/>
      <w:i/>
      <w:iCs/>
      <w:color w:val="365F91" w:themeColor="accent1" w:themeShade="BF"/>
      <w:lang w:eastAsia="en-US"/>
    </w:rPr>
  </w:style>
  <w:style w:type="paragraph" w:styleId="Lijstalinea">
    <w:name w:val="List Paragraph"/>
    <w:aliases w:val="JVV Lijstalinea"/>
    <w:basedOn w:val="Standaard"/>
    <w:uiPriority w:val="34"/>
    <w:qFormat/>
    <w:rsid w:val="005A6B1F"/>
    <w:pPr>
      <w:spacing w:after="160" w:line="259" w:lineRule="auto"/>
      <w:ind w:left="720"/>
      <w:contextualSpacing/>
    </w:pPr>
    <w:rPr>
      <w:rFonts w:asciiTheme="minorHAnsi" w:eastAsiaTheme="minorHAnsi" w:hAnsiTheme="minorHAnsi" w:cstheme="minorBidi"/>
      <w:szCs w:val="22"/>
    </w:rPr>
  </w:style>
  <w:style w:type="paragraph" w:styleId="Revisie">
    <w:name w:val="Revision"/>
    <w:hidden/>
    <w:uiPriority w:val="99"/>
    <w:semiHidden/>
    <w:rsid w:val="00E62FDE"/>
    <w:rPr>
      <w:rFonts w:ascii="Calibri" w:hAnsi="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rgman\AppData\Local\Microsoft\Windows\INetCache\Content.Outlook\BAXMC0TL\Word%20document%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0D9C717326C40BF6B5149AAD05BDE" ma:contentTypeVersion="16" ma:contentTypeDescription="Een nieuw document maken." ma:contentTypeScope="" ma:versionID="1af0322dfa09f65fecc1342f8c42c1c3">
  <xsd:schema xmlns:xsd="http://www.w3.org/2001/XMLSchema" xmlns:xs="http://www.w3.org/2001/XMLSchema" xmlns:p="http://schemas.microsoft.com/office/2006/metadata/properties" xmlns:ns2="befd4893-4037-4112-b05e-6b7984c2cdcb" xmlns:ns3="fac4924c-b543-48da-9618-a935392097f4" targetNamespace="http://schemas.microsoft.com/office/2006/metadata/properties" ma:root="true" ma:fieldsID="1ae5c182ed61468adb9b9214e6e64173" ns2:_="" ns3:_="">
    <xsd:import namespace="befd4893-4037-4112-b05e-6b7984c2cdcb"/>
    <xsd:import namespace="fac4924c-b543-48da-9618-a935392097f4"/>
    <xsd:element name="properties">
      <xsd:complexType>
        <xsd:sequence>
          <xsd:element name="documentManagement">
            <xsd:complexType>
              <xsd:all>
                <xsd:element ref="ns2:Title0"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d4893-4037-4112-b05e-6b7984c2cdcb"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c42f48a-761f-49eb-9374-491455affe4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4924c-b543-48da-9618-a935392097f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d6720b8-a9bb-4990-8de9-f44262ad55f7}" ma:internalName="TaxCatchAll" ma:showField="CatchAllData" ma:web="fac4924c-b543-48da-9618-a93539209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fd4893-4037-4112-b05e-6b7984c2cdcb">
      <Terms xmlns="http://schemas.microsoft.com/office/infopath/2007/PartnerControls"/>
    </lcf76f155ced4ddcb4097134ff3c332f>
    <Title0 xmlns="befd4893-4037-4112-b05e-6b7984c2cdcb" xsi:nil="true"/>
    <TaxCatchAll xmlns="fac4924c-b543-48da-9618-a935392097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BED2C-34D1-4020-BEEF-3CBEE2BF3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d4893-4037-4112-b05e-6b7984c2cdcb"/>
    <ds:schemaRef ds:uri="fac4924c-b543-48da-9618-a93539209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69605-3A2C-428A-89C4-986CBC2AA819}">
  <ds:schemaRefs>
    <ds:schemaRef ds:uri="http://schemas.microsoft.com/office/2006/metadata/properties"/>
    <ds:schemaRef ds:uri="http://schemas.microsoft.com/office/infopath/2007/PartnerControls"/>
    <ds:schemaRef ds:uri="befd4893-4037-4112-b05e-6b7984c2cdcb"/>
    <ds:schemaRef ds:uri="fac4924c-b543-48da-9618-a935392097f4"/>
  </ds:schemaRefs>
</ds:datastoreItem>
</file>

<file path=customXml/itemProps3.xml><?xml version="1.0" encoding="utf-8"?>
<ds:datastoreItem xmlns:ds="http://schemas.openxmlformats.org/officeDocument/2006/customXml" ds:itemID="{0B55D754-7256-463D-A12E-3D67EE7B5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brief</Template>
  <TotalTime>97</TotalTime>
  <Pages>4</Pages>
  <Words>1524</Words>
  <Characters>9153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Datum</vt:lpstr>
    </vt:vector>
  </TitlesOfParts>
  <Company>Hewlett-Packard Company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Jetta Bergman</dc:creator>
  <cp:keywords/>
  <dc:description/>
  <cp:lastModifiedBy>Hettie Meussen</cp:lastModifiedBy>
  <cp:revision>18</cp:revision>
  <cp:lastPrinted>2026-03-09T10:47:00Z</cp:lastPrinted>
  <dcterms:created xsi:type="dcterms:W3CDTF">2026-03-09T10:39:00Z</dcterms:created>
  <dcterms:modified xsi:type="dcterms:W3CDTF">2026-03-09T10:55:00Z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0x010100E460D9C717326C40BF6B5149AAD05BDE</vt:lpwstr>
  </property>
  <property fmtid="{D5CDD505-2E9C-101B-9397-08002B2CF9AE}" pid="3" name="MediaServiceImageTags">
    <vt:lpwstr/>
  </property>
</Properties>
</file>